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heme="majorEastAsia" w:hAnsiTheme="majorEastAsia" w:eastAsiaTheme="majorEastAsia" w:cstheme="majorEastAsia"/>
          <w:b/>
          <w:bCs/>
          <w:sz w:val="30"/>
          <w:szCs w:val="30"/>
        </w:rPr>
      </w:pPr>
      <w:bookmarkStart w:id="0" w:name="_Toc24070"/>
      <w:bookmarkStart w:id="1" w:name="_Toc21364"/>
      <w:bookmarkStart w:id="2" w:name="_Toc18127"/>
      <w:r>
        <w:drawing>
          <wp:anchor distT="0" distB="0" distL="0" distR="0" simplePos="0" relativeHeight="251661312" behindDoc="1" locked="0" layoutInCell="1" allowOverlap="1">
            <wp:simplePos x="0" y="0"/>
            <wp:positionH relativeFrom="column">
              <wp:posOffset>2689860</wp:posOffset>
            </wp:positionH>
            <wp:positionV relativeFrom="paragraph">
              <wp:posOffset>-257175</wp:posOffset>
            </wp:positionV>
            <wp:extent cx="2083435" cy="1978660"/>
            <wp:effectExtent l="0" t="0" r="4445" b="254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2"/>
                    <a:stretch>
                      <a:fillRect/>
                    </a:stretch>
                  </pic:blipFill>
                  <pic:spPr>
                    <a:xfrm>
                      <a:off x="0" y="0"/>
                      <a:ext cx="2083435" cy="1978660"/>
                    </a:xfrm>
                    <a:prstGeom prst="rect">
                      <a:avLst/>
                    </a:prstGeom>
                  </pic:spPr>
                </pic:pic>
              </a:graphicData>
            </a:graphic>
          </wp:anchor>
        </w:drawing>
      </w:r>
      <w:r>
        <w:rPr>
          <w:rFonts w:hint="eastAsia" w:asciiTheme="majorEastAsia" w:hAnsiTheme="majorEastAsia" w:eastAsiaTheme="majorEastAsia" w:cstheme="majorEastAsia"/>
          <w:b/>
          <w:bCs/>
          <w:sz w:val="30"/>
          <w:szCs w:val="30"/>
        </w:rPr>
        <w:t>佛山市南海区第一职业技术学校</w:t>
      </w:r>
      <w:bookmarkEnd w:id="0"/>
      <w:bookmarkEnd w:id="1"/>
      <w:bookmarkStart w:id="3" w:name="_Toc16394"/>
      <w:bookmarkStart w:id="4" w:name="_Toc20008"/>
    </w:p>
    <w:p>
      <w:pPr>
        <w:ind w:firstLine="0" w:firstLineChars="0"/>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电梯安装与维修保养专业</w:t>
      </w:r>
      <w:bookmarkEnd w:id="2"/>
      <w:bookmarkEnd w:id="3"/>
      <w:bookmarkEnd w:id="4"/>
    </w:p>
    <w:p>
      <w:pPr>
        <w:ind w:firstLine="0" w:firstLineChars="0"/>
        <w:jc w:val="center"/>
        <w:rPr>
          <w:rFonts w:hint="eastAsia" w:asciiTheme="majorEastAsia" w:hAnsiTheme="majorEastAsia" w:eastAsiaTheme="majorEastAsia" w:cstheme="majorEastAsia"/>
          <w:b/>
          <w:bCs/>
          <w:sz w:val="30"/>
          <w:szCs w:val="30"/>
        </w:rPr>
      </w:pPr>
      <w:bookmarkStart w:id="5" w:name="_Toc18916"/>
      <w:bookmarkStart w:id="6" w:name="_Toc16582"/>
      <w:bookmarkStart w:id="7" w:name="_Toc29126"/>
      <w:r>
        <w:rPr>
          <w:rFonts w:hint="eastAsia" w:asciiTheme="majorEastAsia" w:hAnsiTheme="majorEastAsia" w:eastAsiaTheme="majorEastAsia" w:cstheme="majorEastAsia"/>
          <w:b/>
          <w:bCs/>
          <w:sz w:val="30"/>
          <w:szCs w:val="30"/>
        </w:rPr>
        <w:t>（专业代码：660206）</w:t>
      </w:r>
      <w:bookmarkEnd w:id="5"/>
      <w:bookmarkEnd w:id="6"/>
      <w:bookmarkEnd w:id="7"/>
    </w:p>
    <w:p>
      <w:pPr>
        <w:ind w:firstLine="0" w:firstLineChars="0"/>
        <w:jc w:val="center"/>
        <w:rPr>
          <w:rFonts w:hint="eastAsia" w:asciiTheme="majorEastAsia" w:hAnsiTheme="majorEastAsia" w:eastAsiaTheme="majorEastAsia" w:cstheme="majorEastAsia"/>
          <w:b/>
          <w:bCs/>
          <w:sz w:val="30"/>
          <w:szCs w:val="30"/>
        </w:rPr>
      </w:pPr>
    </w:p>
    <w:p>
      <w:pPr>
        <w:ind w:firstLine="0" w:firstLineChars="0"/>
        <w:jc w:val="center"/>
        <w:rPr>
          <w:rFonts w:hint="eastAsia" w:asciiTheme="majorEastAsia" w:hAnsiTheme="majorEastAsia" w:eastAsiaTheme="majorEastAsia" w:cstheme="majorEastAsia"/>
          <w:b/>
          <w:bCs/>
          <w:sz w:val="30"/>
          <w:szCs w:val="30"/>
        </w:rPr>
      </w:pPr>
      <w:bookmarkStart w:id="8" w:name="_Toc5100"/>
      <w:bookmarkStart w:id="9" w:name="_Toc15096"/>
      <w:bookmarkStart w:id="10" w:name="_Toc31394"/>
      <w:r>
        <w:rPr>
          <w:rFonts w:hint="eastAsia" w:asciiTheme="majorEastAsia" w:hAnsiTheme="majorEastAsia" w:eastAsiaTheme="majorEastAsia" w:cstheme="majorEastAsia"/>
          <w:b/>
          <w:bCs/>
          <w:sz w:val="30"/>
          <w:szCs w:val="30"/>
        </w:rPr>
        <w:t>2022级人才培养方案</w:t>
      </w:r>
      <w:bookmarkEnd w:id="8"/>
      <w:bookmarkEnd w:id="9"/>
      <w:bookmarkEnd w:id="10"/>
    </w:p>
    <w:p>
      <w:pPr>
        <w:ind w:firstLine="744" w:firstLineChars="247"/>
        <w:rPr>
          <w:b/>
          <w:sz w:val="30"/>
          <w:szCs w:val="30"/>
        </w:rPr>
      </w:pPr>
      <w:r>
        <w:rPr>
          <w:rFonts w:hint="eastAsia"/>
          <w:b/>
          <w:sz w:val="30"/>
          <w:szCs w:val="30"/>
        </w:rPr>
        <w:t xml:space="preserve"> </w:t>
      </w:r>
    </w:p>
    <w:p>
      <w:pPr>
        <w:ind w:firstLine="1188" w:firstLineChars="396"/>
        <w:rPr>
          <w:sz w:val="30"/>
          <w:szCs w:val="30"/>
        </w:rPr>
      </w:pPr>
      <w:bookmarkStart w:id="11" w:name="_Toc24557"/>
      <w:bookmarkStart w:id="12" w:name="_Toc21902"/>
      <w:bookmarkStart w:id="13" w:name="_Toc20653"/>
      <w:r>
        <w:rPr>
          <w:rFonts w:hint="eastAsia"/>
          <w:sz w:val="30"/>
          <w:szCs w:val="30"/>
        </w:rPr>
        <w:t>执笔人：</w:t>
      </w:r>
      <w:bookmarkEnd w:id="11"/>
      <w:bookmarkEnd w:id="12"/>
      <w:bookmarkEnd w:id="13"/>
      <w:r>
        <w:rPr>
          <w:rFonts w:hint="eastAsia"/>
          <w:sz w:val="30"/>
          <w:szCs w:val="30"/>
        </w:rPr>
        <w:t>曾晓文</w:t>
      </w:r>
      <w:bookmarkStart w:id="38" w:name="_GoBack"/>
      <w:bookmarkEnd w:id="38"/>
    </w:p>
    <w:p>
      <w:pPr>
        <w:ind w:firstLine="600"/>
        <w:rPr>
          <w:sz w:val="30"/>
          <w:szCs w:val="30"/>
        </w:rPr>
      </w:pPr>
    </w:p>
    <w:p>
      <w:pPr>
        <w:ind w:firstLine="1191" w:firstLineChars="397"/>
        <w:rPr>
          <w:sz w:val="30"/>
          <w:szCs w:val="30"/>
        </w:rPr>
      </w:pPr>
      <w:bookmarkStart w:id="14" w:name="_Toc3311"/>
      <w:bookmarkStart w:id="15" w:name="_Toc13629"/>
      <w:bookmarkStart w:id="16" w:name="_Toc6207"/>
      <w:r>
        <w:rPr>
          <w:rFonts w:hint="eastAsia"/>
          <w:sz w:val="30"/>
          <w:szCs w:val="30"/>
        </w:rPr>
        <w:t>学校审核人</w:t>
      </w:r>
      <w:bookmarkEnd w:id="14"/>
      <w:bookmarkEnd w:id="15"/>
      <w:bookmarkEnd w:id="16"/>
    </w:p>
    <w:p>
      <w:pPr>
        <w:ind w:firstLine="600"/>
        <w:rPr>
          <w:sz w:val="30"/>
          <w:szCs w:val="30"/>
        </w:rPr>
      </w:pPr>
      <w:bookmarkStart w:id="17" w:name="_Toc5176"/>
      <w:bookmarkStart w:id="18" w:name="_Toc30586"/>
      <w:bookmarkStart w:id="19" w:name="_Toc4619"/>
      <w:r>
        <w:rPr>
          <w:rFonts w:hint="eastAsia"/>
          <w:sz w:val="30"/>
          <w:szCs w:val="30"/>
        </w:rPr>
        <w:t xml:space="preserve">    专业部：</w:t>
      </w:r>
      <w:bookmarkEnd w:id="17"/>
      <w:bookmarkEnd w:id="18"/>
      <w:bookmarkEnd w:id="19"/>
      <w:r>
        <w:rPr>
          <w:rFonts w:hint="eastAsia"/>
          <w:sz w:val="30"/>
          <w:szCs w:val="30"/>
        </w:rPr>
        <w:t>杨永照</w:t>
      </w:r>
    </w:p>
    <w:p>
      <w:pPr>
        <w:ind w:firstLine="600"/>
        <w:rPr>
          <w:sz w:val="30"/>
          <w:szCs w:val="30"/>
        </w:rPr>
      </w:pPr>
      <w:bookmarkStart w:id="20" w:name="_Toc945"/>
      <w:bookmarkStart w:id="21" w:name="_Toc21393"/>
      <w:bookmarkStart w:id="22" w:name="_Toc24703"/>
      <w:r>
        <w:rPr>
          <w:rFonts w:hint="eastAsia"/>
          <w:sz w:val="30"/>
          <w:szCs w:val="30"/>
        </w:rPr>
        <w:t xml:space="preserve">    教学部门：</w:t>
      </w:r>
      <w:bookmarkEnd w:id="20"/>
      <w:bookmarkEnd w:id="21"/>
      <w:bookmarkEnd w:id="22"/>
      <w:r>
        <w:rPr>
          <w:rFonts w:hint="eastAsia"/>
          <w:sz w:val="30"/>
          <w:szCs w:val="30"/>
        </w:rPr>
        <w:t>罗能海</w:t>
      </w:r>
    </w:p>
    <w:p>
      <w:pPr>
        <w:ind w:firstLine="600"/>
        <w:rPr>
          <w:sz w:val="30"/>
          <w:szCs w:val="30"/>
        </w:rPr>
      </w:pPr>
      <w:bookmarkStart w:id="23" w:name="_Toc16150"/>
      <w:bookmarkStart w:id="24" w:name="_Toc32057"/>
      <w:bookmarkStart w:id="25" w:name="_Toc21643"/>
      <w:r>
        <w:rPr>
          <w:rFonts w:hint="eastAsia"/>
          <w:sz w:val="30"/>
          <w:szCs w:val="30"/>
        </w:rPr>
        <w:t xml:space="preserve">    教学副校长：曾晓平</w:t>
      </w:r>
      <w:bookmarkEnd w:id="23"/>
      <w:bookmarkEnd w:id="24"/>
      <w:bookmarkEnd w:id="25"/>
    </w:p>
    <w:p>
      <w:pPr>
        <w:ind w:firstLine="600"/>
        <w:rPr>
          <w:sz w:val="30"/>
          <w:szCs w:val="30"/>
        </w:rPr>
      </w:pPr>
      <w:r>
        <w:rPr>
          <w:rFonts w:hint="eastAsia" w:eastAsia="宋体"/>
          <w:color w:val="auto"/>
          <w:sz w:val="30"/>
          <w:szCs w:val="30"/>
          <w:lang w:eastAsia="zh-CN"/>
        </w:rPr>
        <w:drawing>
          <wp:anchor distT="0" distB="0" distL="114300" distR="114300" simplePos="0" relativeHeight="251666432" behindDoc="0" locked="0" layoutInCell="1" allowOverlap="1">
            <wp:simplePos x="0" y="0"/>
            <wp:positionH relativeFrom="column">
              <wp:posOffset>1706880</wp:posOffset>
            </wp:positionH>
            <wp:positionV relativeFrom="paragraph">
              <wp:posOffset>165735</wp:posOffset>
            </wp:positionV>
            <wp:extent cx="1945005" cy="1903730"/>
            <wp:effectExtent l="0" t="0" r="0" b="0"/>
            <wp:wrapNone/>
            <wp:docPr id="3" name="图片 5" descr="党委公章（透明无背景暗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党委公章（透明无背景暗红）"/>
                    <pic:cNvPicPr>
                      <a:picLocks noChangeAspect="1"/>
                    </pic:cNvPicPr>
                  </pic:nvPicPr>
                  <pic:blipFill>
                    <a:blip r:embed="rId13"/>
                    <a:stretch>
                      <a:fillRect/>
                    </a:stretch>
                  </pic:blipFill>
                  <pic:spPr>
                    <a:xfrm>
                      <a:off x="0" y="0"/>
                      <a:ext cx="1945005" cy="1903730"/>
                    </a:xfrm>
                    <a:prstGeom prst="rect">
                      <a:avLst/>
                    </a:prstGeom>
                    <a:noFill/>
                    <a:ln>
                      <a:noFill/>
                    </a:ln>
                  </pic:spPr>
                </pic:pic>
              </a:graphicData>
            </a:graphic>
          </wp:anchor>
        </w:drawing>
      </w:r>
      <w:r>
        <w:rPr>
          <w:rFonts w:hint="eastAsia"/>
          <w:sz w:val="30"/>
          <w:szCs w:val="30"/>
        </w:rPr>
        <w:t xml:space="preserve">      </w:t>
      </w:r>
    </w:p>
    <w:p>
      <w:pPr>
        <w:ind w:firstLine="1038" w:firstLineChars="346"/>
        <w:rPr>
          <w:sz w:val="30"/>
          <w:szCs w:val="30"/>
        </w:rPr>
      </w:pPr>
      <w:bookmarkStart w:id="26" w:name="_Toc26588"/>
      <w:bookmarkStart w:id="27" w:name="_Toc10937"/>
      <w:bookmarkStart w:id="28" w:name="_Toc17503"/>
      <w:r>
        <w:rPr>
          <w:rFonts w:hint="eastAsia"/>
          <w:sz w:val="30"/>
          <w:szCs w:val="30"/>
        </w:rPr>
        <w:t>企业审核人：</w:t>
      </w:r>
      <w:bookmarkEnd w:id="26"/>
      <w:bookmarkEnd w:id="27"/>
      <w:bookmarkEnd w:id="28"/>
      <w:r>
        <w:rPr>
          <w:rFonts w:hint="eastAsia"/>
          <w:sz w:val="30"/>
          <w:szCs w:val="30"/>
        </w:rPr>
        <w:t>曾伟胜</w:t>
      </w:r>
    </w:p>
    <w:p>
      <w:pPr>
        <w:ind w:firstLine="600"/>
        <w:rPr>
          <w:sz w:val="30"/>
          <w:szCs w:val="30"/>
        </w:rPr>
      </w:pPr>
      <w:r>
        <w:rPr>
          <w:rFonts w:hint="eastAsia"/>
          <w:sz w:val="30"/>
          <w:szCs w:val="30"/>
        </w:rPr>
        <w:t xml:space="preserve">           </w:t>
      </w:r>
    </w:p>
    <w:p>
      <w:pPr>
        <w:ind w:firstLine="1038" w:firstLineChars="346"/>
        <w:rPr>
          <w:sz w:val="30"/>
          <w:szCs w:val="30"/>
        </w:rPr>
      </w:pPr>
      <w:bookmarkStart w:id="29" w:name="_Toc18284"/>
      <w:bookmarkStart w:id="30" w:name="_Toc864"/>
      <w:bookmarkStart w:id="31" w:name="_Toc12601"/>
      <w:r>
        <w:rPr>
          <w:rFonts w:hint="eastAsia"/>
          <w:sz w:val="30"/>
          <w:szCs w:val="30"/>
        </w:rPr>
        <w:t>审定人：</w:t>
      </w:r>
      <w:bookmarkEnd w:id="29"/>
      <w:bookmarkEnd w:id="30"/>
      <w:bookmarkEnd w:id="31"/>
      <w:r>
        <w:rPr>
          <w:rFonts w:hint="eastAsia"/>
          <w:sz w:val="30"/>
          <w:szCs w:val="30"/>
        </w:rPr>
        <w:t>何江华</w:t>
      </w:r>
    </w:p>
    <w:p>
      <w:pPr>
        <w:ind w:firstLine="600"/>
        <w:rPr>
          <w:sz w:val="30"/>
          <w:szCs w:val="30"/>
        </w:rPr>
      </w:pPr>
      <w:r>
        <w:rPr>
          <w:rFonts w:hint="eastAsia"/>
          <w:sz w:val="30"/>
          <w:szCs w:val="30"/>
        </w:rPr>
        <w:t xml:space="preserve">            </w:t>
      </w:r>
    </w:p>
    <w:p>
      <w:pPr>
        <w:ind w:firstLine="3150" w:firstLineChars="1046"/>
        <w:rPr>
          <w:b/>
          <w:sz w:val="30"/>
          <w:szCs w:val="30"/>
        </w:rPr>
      </w:pPr>
      <w:bookmarkStart w:id="32" w:name="_Toc20836"/>
      <w:bookmarkStart w:id="33" w:name="_Toc1594"/>
      <w:bookmarkStart w:id="34" w:name="_Toc19558"/>
      <w:r>
        <w:rPr>
          <w:rFonts w:hint="eastAsia"/>
          <w:b/>
          <w:sz w:val="30"/>
          <w:szCs w:val="30"/>
        </w:rPr>
        <w:t>二〇二二年六月</w:t>
      </w:r>
      <w:bookmarkEnd w:id="32"/>
      <w:bookmarkEnd w:id="33"/>
      <w:bookmarkEnd w:id="34"/>
    </w:p>
    <w:p>
      <w:pPr>
        <w:widowControl/>
        <w:spacing w:line="240" w:lineRule="auto"/>
        <w:ind w:firstLine="0" w:firstLineChars="0"/>
        <w:jc w:val="left"/>
        <w:rPr>
          <w:rFonts w:asciiTheme="minorEastAsia" w:hAnsiTheme="minorEastAsia" w:eastAsiaTheme="minorEastAsia" w:cstheme="minorEastAsia"/>
          <w:b/>
          <w:bCs/>
          <w:sz w:val="30"/>
          <w:szCs w:val="30"/>
        </w:rPr>
      </w:pPr>
      <w:r>
        <w:rPr>
          <w:rFonts w:asciiTheme="minorEastAsia" w:hAnsiTheme="minorEastAsia" w:eastAsiaTheme="minorEastAsia" w:cstheme="minorEastAsia"/>
          <w:b/>
          <w:bCs/>
          <w:sz w:val="30"/>
          <w:szCs w:val="30"/>
        </w:rPr>
        <w:br w:type="page"/>
      </w:r>
    </w:p>
    <w:p>
      <w:pPr>
        <w:keepNext w:val="0"/>
        <w:keepLines w:val="0"/>
        <w:pageBreakBefore w:val="0"/>
        <w:widowControl w:val="0"/>
        <w:kinsoku/>
        <w:wordWrap/>
        <w:overflowPunct/>
        <w:topLinePunct w:val="0"/>
        <w:autoSpaceDE/>
        <w:autoSpaceDN/>
        <w:bidi w:val="0"/>
        <w:adjustRightInd w:val="0"/>
        <w:snapToGrid/>
        <w:spacing w:before="97" w:line="506" w:lineRule="exact"/>
        <w:ind w:left="2665" w:firstLine="0" w:firstLineChars="0"/>
        <w:jc w:val="both"/>
        <w:textAlignment w:val="auto"/>
        <w:rPr>
          <w:rFonts w:ascii="宋体" w:hAnsi="宋体" w:eastAsia="宋体" w:cs="宋体"/>
          <w:b/>
          <w:bCs/>
          <w:sz w:val="30"/>
          <w:szCs w:val="30"/>
        </w:rPr>
      </w:pPr>
      <w:r>
        <w:rPr>
          <w:b/>
          <w:bCs/>
        </w:rPr>
        <w:drawing>
          <wp:anchor distT="0" distB="0" distL="0" distR="0" simplePos="0" relativeHeight="251664384" behindDoc="1" locked="0" layoutInCell="1" allowOverlap="1">
            <wp:simplePos x="0" y="0"/>
            <wp:positionH relativeFrom="column">
              <wp:posOffset>2954655</wp:posOffset>
            </wp:positionH>
            <wp:positionV relativeFrom="paragraph">
              <wp:posOffset>-532130</wp:posOffset>
            </wp:positionV>
            <wp:extent cx="2106930" cy="1903095"/>
            <wp:effectExtent l="0" t="0" r="11430" b="190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2106930" cy="1903095"/>
                    </a:xfrm>
                    <a:prstGeom prst="rect">
                      <a:avLst/>
                    </a:prstGeom>
                  </pic:spPr>
                </pic:pic>
              </a:graphicData>
            </a:graphic>
          </wp:anchor>
        </w:drawing>
      </w:r>
      <w:r>
        <w:rPr>
          <w:rFonts w:ascii="宋体" w:hAnsi="宋体" w:eastAsia="宋体" w:cs="宋体"/>
          <w:b/>
          <w:bCs/>
          <w:spacing w:val="1"/>
          <w:position w:val="15"/>
          <w:sz w:val="30"/>
          <w:szCs w:val="30"/>
        </w:rPr>
        <w:t>佛山</w:t>
      </w:r>
      <w:r>
        <w:rPr>
          <w:rFonts w:ascii="宋体" w:hAnsi="宋体" w:eastAsia="宋体" w:cs="宋体"/>
          <w:b/>
          <w:bCs/>
          <w:position w:val="15"/>
          <w:sz w:val="30"/>
          <w:szCs w:val="30"/>
        </w:rPr>
        <w:t>市南海区第一职业技术学校</w:t>
      </w:r>
    </w:p>
    <w:p>
      <w:pPr>
        <w:keepNext w:val="0"/>
        <w:keepLines w:val="0"/>
        <w:pageBreakBefore w:val="0"/>
        <w:widowControl w:val="0"/>
        <w:kinsoku/>
        <w:wordWrap/>
        <w:overflowPunct/>
        <w:topLinePunct w:val="0"/>
        <w:autoSpaceDE/>
        <w:autoSpaceDN/>
        <w:bidi w:val="0"/>
        <w:adjustRightInd/>
        <w:snapToGrid/>
        <w:spacing w:before="1" w:line="218" w:lineRule="auto"/>
        <w:ind w:left="2247" w:firstLine="0" w:firstLineChars="0"/>
        <w:jc w:val="both"/>
        <w:textAlignment w:val="auto"/>
        <w:rPr>
          <w:rFonts w:ascii="宋体" w:hAnsi="宋体" w:eastAsia="宋体" w:cs="宋体"/>
          <w:b/>
          <w:bCs/>
          <w:sz w:val="30"/>
          <w:szCs w:val="30"/>
        </w:rPr>
      </w:pPr>
      <w:r>
        <w:rPr>
          <w:rFonts w:ascii="宋体" w:hAnsi="宋体" w:eastAsia="宋体" w:cs="宋体"/>
          <w:b/>
          <w:bCs/>
          <w:spacing w:val="-2"/>
          <w:sz w:val="30"/>
          <w:szCs w:val="30"/>
        </w:rPr>
        <w:t>电梯安装与维修保养专</w:t>
      </w:r>
      <w:r>
        <w:rPr>
          <w:rFonts w:ascii="宋体" w:hAnsi="宋体" w:eastAsia="宋体" w:cs="宋体"/>
          <w:b/>
          <w:bCs/>
          <w:spacing w:val="-1"/>
          <w:sz w:val="30"/>
          <w:szCs w:val="30"/>
        </w:rPr>
        <w:t>业人才培养方案</w:t>
      </w:r>
    </w:p>
    <w:p>
      <w:pPr>
        <w:keepNext w:val="0"/>
        <w:keepLines w:val="0"/>
        <w:pageBreakBefore w:val="0"/>
        <w:widowControl w:val="0"/>
        <w:kinsoku/>
        <w:wordWrap/>
        <w:overflowPunct/>
        <w:topLinePunct w:val="0"/>
        <w:autoSpaceDE/>
        <w:autoSpaceDN/>
        <w:bidi w:val="0"/>
        <w:adjustRightInd/>
        <w:snapToGrid/>
        <w:spacing w:line="245" w:lineRule="auto"/>
        <w:ind w:firstLine="0" w:firstLineChars="0"/>
        <w:jc w:val="both"/>
        <w:textAlignment w:val="auto"/>
        <w:rPr>
          <w:rFonts w:ascii="Arial"/>
          <w:b/>
          <w:bCs/>
          <w:sz w:val="21"/>
        </w:rPr>
      </w:pPr>
    </w:p>
    <w:p>
      <w:pPr>
        <w:keepNext w:val="0"/>
        <w:keepLines w:val="0"/>
        <w:pageBreakBefore w:val="0"/>
        <w:widowControl w:val="0"/>
        <w:kinsoku/>
        <w:wordWrap/>
        <w:overflowPunct/>
        <w:topLinePunct w:val="0"/>
        <w:autoSpaceDE/>
        <w:autoSpaceDN/>
        <w:bidi w:val="0"/>
        <w:adjustRightInd w:val="0"/>
        <w:snapToGrid/>
        <w:spacing w:before="98" w:line="224" w:lineRule="auto"/>
        <w:ind w:left="3985" w:firstLine="0" w:firstLineChars="0"/>
        <w:jc w:val="both"/>
        <w:textAlignment w:val="auto"/>
        <w:rPr>
          <w:rFonts w:ascii="宋体" w:hAnsi="宋体" w:eastAsia="宋体" w:cs="宋体"/>
          <w:sz w:val="30"/>
          <w:szCs w:val="30"/>
        </w:rPr>
      </w:pPr>
      <w:r>
        <w:rPr>
          <w:rFonts w:ascii="宋体" w:hAnsi="宋体" w:eastAsia="宋体" w:cs="宋体"/>
          <w:b/>
          <w:bCs/>
          <w:spacing w:val="7"/>
          <w:sz w:val="30"/>
          <w:szCs w:val="30"/>
        </w:rPr>
        <w:t>(202</w:t>
      </w:r>
      <w:r>
        <w:rPr>
          <w:rFonts w:hint="eastAsia" w:ascii="宋体" w:hAnsi="宋体" w:cs="宋体"/>
          <w:b/>
          <w:bCs/>
          <w:spacing w:val="7"/>
          <w:sz w:val="30"/>
          <w:szCs w:val="30"/>
          <w:lang w:val="en-US" w:eastAsia="zh-CN"/>
        </w:rPr>
        <w:t>2</w:t>
      </w:r>
      <w:r>
        <w:rPr>
          <w:rFonts w:ascii="宋体" w:hAnsi="宋体" w:eastAsia="宋体" w:cs="宋体"/>
          <w:b/>
          <w:bCs/>
          <w:spacing w:val="7"/>
          <w:sz w:val="30"/>
          <w:szCs w:val="30"/>
        </w:rPr>
        <w:t>级</w:t>
      </w:r>
      <w:r>
        <w:rPr>
          <w:rFonts w:ascii="宋体" w:hAnsi="宋体" w:eastAsia="宋体" w:cs="宋体"/>
          <w:b/>
          <w:bCs/>
          <w:spacing w:val="6"/>
          <w:sz w:val="30"/>
          <w:szCs w:val="30"/>
        </w:rPr>
        <w:t>)</w:t>
      </w:r>
    </w:p>
    <w:p>
      <w:pPr>
        <w:pStyle w:val="3"/>
        <w:ind w:left="0" w:leftChars="0" w:firstLine="482" w:firstLineChars="200"/>
        <w:rPr>
          <w:sz w:val="24"/>
          <w:szCs w:val="24"/>
        </w:rPr>
      </w:pPr>
      <w:r>
        <w:rPr>
          <w:rFonts w:hint="eastAsia"/>
          <w:sz w:val="24"/>
          <w:szCs w:val="24"/>
        </w:rPr>
        <w:t>一、专业名称及代码</w:t>
      </w:r>
    </w:p>
    <w:p>
      <w:pPr>
        <w:overflowPunct w:val="0"/>
        <w:adjustRightInd w:val="0"/>
        <w:ind w:firstLine="480"/>
        <w:rPr>
          <w:rFonts w:asciiTheme="minorEastAsia" w:hAnsiTheme="minorEastAsia" w:eastAsiaTheme="minorEastAsia"/>
          <w:szCs w:val="24"/>
        </w:rPr>
      </w:pPr>
      <w:r>
        <w:rPr>
          <w:rFonts w:hint="eastAsia" w:asciiTheme="minorEastAsia" w:hAnsiTheme="minorEastAsia" w:eastAsiaTheme="minorEastAsia"/>
          <w:szCs w:val="24"/>
        </w:rPr>
        <w:t>专业名称：电梯安装与维修保养</w:t>
      </w:r>
    </w:p>
    <w:p>
      <w:pPr>
        <w:overflowPunct w:val="0"/>
        <w:adjustRightInd w:val="0"/>
        <w:ind w:firstLine="480"/>
        <w:rPr>
          <w:rFonts w:asciiTheme="minorEastAsia" w:hAnsiTheme="minorEastAsia" w:eastAsiaTheme="minorEastAsia"/>
          <w:szCs w:val="24"/>
        </w:rPr>
      </w:pPr>
      <w:r>
        <w:rPr>
          <w:rFonts w:hint="eastAsia" w:asciiTheme="minorEastAsia" w:hAnsiTheme="minorEastAsia" w:eastAsiaTheme="minorEastAsia"/>
          <w:szCs w:val="24"/>
        </w:rPr>
        <w:t>专业代码：</w:t>
      </w:r>
      <w:r>
        <w:rPr>
          <w:rFonts w:hint="eastAsia" w:ascii="黑体" w:hAnsi="黑体" w:eastAsia="黑体" w:cs="黑体"/>
        </w:rPr>
        <w:t>660206</w:t>
      </w:r>
    </w:p>
    <w:p>
      <w:pPr>
        <w:pStyle w:val="3"/>
        <w:ind w:firstLine="482"/>
        <w:rPr>
          <w:sz w:val="24"/>
          <w:szCs w:val="24"/>
        </w:rPr>
      </w:pPr>
      <w:r>
        <w:rPr>
          <w:rFonts w:hint="eastAsia"/>
          <w:sz w:val="24"/>
          <w:szCs w:val="24"/>
        </w:rPr>
        <w:t>二、入学要求</w:t>
      </w:r>
    </w:p>
    <w:p>
      <w:pPr>
        <w:overflowPunct w:val="0"/>
        <w:adjustRightInd w:val="0"/>
        <w:ind w:firstLine="480"/>
        <w:rPr>
          <w:rFonts w:asciiTheme="minorEastAsia" w:hAnsiTheme="minorEastAsia" w:eastAsiaTheme="minorEastAsia"/>
          <w:szCs w:val="24"/>
        </w:rPr>
      </w:pPr>
      <w:r>
        <w:rPr>
          <w:rFonts w:hint="eastAsia" w:asciiTheme="minorEastAsia" w:hAnsiTheme="minorEastAsia" w:eastAsiaTheme="minorEastAsia"/>
          <w:szCs w:val="24"/>
        </w:rPr>
        <w:t>初中毕业生或具有同等学力者。</w:t>
      </w:r>
    </w:p>
    <w:p>
      <w:pPr>
        <w:pStyle w:val="3"/>
        <w:ind w:firstLine="482"/>
        <w:rPr>
          <w:sz w:val="24"/>
          <w:szCs w:val="24"/>
        </w:rPr>
      </w:pPr>
      <w:r>
        <w:rPr>
          <w:rFonts w:hint="eastAsia"/>
          <w:sz w:val="24"/>
          <w:szCs w:val="24"/>
        </w:rPr>
        <w:t xml:space="preserve">三、修业年限    </w:t>
      </w:r>
    </w:p>
    <w:p>
      <w:pPr>
        <w:overflowPunct w:val="0"/>
        <w:adjustRightInd w:val="0"/>
        <w:ind w:firstLine="480"/>
        <w:outlineLvl w:val="0"/>
        <w:rPr>
          <w:rFonts w:asciiTheme="minorEastAsia" w:hAnsiTheme="minorEastAsia" w:eastAsiaTheme="minorEastAsia"/>
          <w:szCs w:val="24"/>
        </w:rPr>
      </w:pPr>
      <w:r>
        <w:rPr>
          <w:rFonts w:hint="eastAsia" w:asciiTheme="minorEastAsia" w:hAnsiTheme="minorEastAsia" w:eastAsiaTheme="minorEastAsia"/>
          <w:szCs w:val="24"/>
        </w:rPr>
        <w:t>学制</w:t>
      </w:r>
      <w:r>
        <w:rPr>
          <w:rFonts w:asciiTheme="minorEastAsia" w:hAnsiTheme="minorEastAsia" w:eastAsiaTheme="minorEastAsia"/>
          <w:szCs w:val="24"/>
        </w:rPr>
        <w:t>3</w:t>
      </w:r>
      <w:r>
        <w:rPr>
          <w:rFonts w:hint="eastAsia" w:asciiTheme="minorEastAsia" w:hAnsiTheme="minorEastAsia" w:eastAsiaTheme="minorEastAsia"/>
          <w:szCs w:val="24"/>
        </w:rPr>
        <w:t>年。</w:t>
      </w:r>
    </w:p>
    <w:p>
      <w:pPr>
        <w:pStyle w:val="3"/>
        <w:ind w:firstLine="482"/>
        <w:rPr>
          <w:sz w:val="24"/>
          <w:szCs w:val="24"/>
        </w:rPr>
      </w:pPr>
      <w:r>
        <w:rPr>
          <w:rFonts w:hint="eastAsia"/>
          <w:sz w:val="24"/>
          <w:szCs w:val="24"/>
        </w:rPr>
        <w:t>四、职业面向</w:t>
      </w:r>
    </w:p>
    <w:p>
      <w:pPr>
        <w:ind w:firstLine="480"/>
        <w:rPr>
          <w:rFonts w:asciiTheme="minorEastAsia" w:hAnsiTheme="minorEastAsia" w:eastAsiaTheme="minorEastAsia"/>
          <w:szCs w:val="24"/>
        </w:rPr>
      </w:pPr>
      <w:r>
        <w:rPr>
          <w:rFonts w:hint="eastAsia" w:asciiTheme="minorEastAsia" w:hAnsiTheme="minorEastAsia" w:eastAsiaTheme="minorEastAsia"/>
          <w:szCs w:val="24"/>
        </w:rPr>
        <w:t>本专业主要面向电梯企业、机电类企业、电气公司培养技术人才，就业岗位如表</w:t>
      </w:r>
      <w:r>
        <w:rPr>
          <w:rFonts w:asciiTheme="minorEastAsia" w:hAnsiTheme="minorEastAsia" w:eastAsiaTheme="minorEastAsia"/>
          <w:szCs w:val="24"/>
        </w:rPr>
        <w:t>1</w:t>
      </w:r>
      <w:r>
        <w:rPr>
          <w:rFonts w:hint="eastAsia" w:asciiTheme="minorEastAsia" w:hAnsiTheme="minorEastAsia" w:eastAsiaTheme="minorEastAsia"/>
          <w:szCs w:val="24"/>
        </w:rPr>
        <w:t>所示。</w:t>
      </w:r>
    </w:p>
    <w:p>
      <w:pPr>
        <w:overflowPunct w:val="0"/>
        <w:adjustRightInd w:val="0"/>
        <w:ind w:firstLine="480"/>
        <w:jc w:val="center"/>
        <w:outlineLvl w:val="0"/>
        <w:rPr>
          <w:rFonts w:asciiTheme="minorEastAsia" w:hAnsiTheme="minorEastAsia" w:eastAsiaTheme="minorEastAsia"/>
          <w:szCs w:val="24"/>
        </w:rPr>
      </w:pPr>
      <w:r>
        <w:rPr>
          <w:rFonts w:hint="eastAsia" w:asciiTheme="minorEastAsia" w:hAnsiTheme="minorEastAsia" w:eastAsiaTheme="minorEastAsia"/>
          <w:szCs w:val="24"/>
        </w:rPr>
        <w:t>表</w:t>
      </w:r>
      <w:r>
        <w:rPr>
          <w:rFonts w:asciiTheme="minorEastAsia" w:hAnsiTheme="minorEastAsia" w:eastAsiaTheme="minorEastAsia"/>
          <w:szCs w:val="24"/>
        </w:rPr>
        <w:t xml:space="preserve">1 </w:t>
      </w:r>
      <w:r>
        <w:rPr>
          <w:rFonts w:hint="eastAsia" w:asciiTheme="minorEastAsia" w:hAnsiTheme="minorEastAsia" w:eastAsiaTheme="minorEastAsia"/>
          <w:szCs w:val="24"/>
        </w:rPr>
        <w:t>电梯安装与维修保养专业就业岗位情况表</w:t>
      </w:r>
    </w:p>
    <w:tbl>
      <w:tblPr>
        <w:tblStyle w:val="11"/>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35"/>
        <w:gridCol w:w="1521"/>
        <w:gridCol w:w="1896"/>
        <w:gridCol w:w="1673"/>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shd w:val="clear" w:color="auto" w:fill="auto"/>
            <w:vAlign w:val="center"/>
          </w:tcPr>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所属专业大类（代码）</w:t>
            </w:r>
          </w:p>
        </w:tc>
        <w:tc>
          <w:tcPr>
            <w:tcW w:w="1535" w:type="dxa"/>
            <w:shd w:val="clear" w:color="auto" w:fill="auto"/>
            <w:vAlign w:val="center"/>
          </w:tcPr>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所属专业类（代码）</w:t>
            </w:r>
          </w:p>
        </w:tc>
        <w:tc>
          <w:tcPr>
            <w:tcW w:w="1521" w:type="dxa"/>
            <w:shd w:val="clear" w:color="auto" w:fill="auto"/>
            <w:vAlign w:val="center"/>
          </w:tcPr>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对应行业（代码）</w:t>
            </w:r>
          </w:p>
        </w:tc>
        <w:tc>
          <w:tcPr>
            <w:tcW w:w="1896" w:type="dxa"/>
            <w:shd w:val="clear" w:color="auto" w:fill="auto"/>
            <w:vAlign w:val="center"/>
          </w:tcPr>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主要职业类别</w:t>
            </w:r>
          </w:p>
        </w:tc>
        <w:tc>
          <w:tcPr>
            <w:tcW w:w="1673" w:type="dxa"/>
            <w:shd w:val="clear" w:color="auto" w:fill="auto"/>
            <w:vAlign w:val="center"/>
          </w:tcPr>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主要岗位群或技术领域</w:t>
            </w:r>
          </w:p>
        </w:tc>
        <w:tc>
          <w:tcPr>
            <w:tcW w:w="1514" w:type="dxa"/>
            <w:shd w:val="clear" w:color="auto" w:fill="auto"/>
            <w:vAlign w:val="center"/>
          </w:tcPr>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职业证书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shd w:val="clear" w:color="auto" w:fill="auto"/>
            <w:vAlign w:val="center"/>
          </w:tcPr>
          <w:p>
            <w:pPr>
              <w:ind w:firstLine="0" w:firstLineChars="0"/>
              <w:jc w:val="center"/>
              <w:rPr>
                <w:rFonts w:asciiTheme="minorEastAsia" w:hAnsiTheme="minorEastAsia" w:eastAsiaTheme="minorEastAsia"/>
                <w:szCs w:val="24"/>
              </w:rPr>
            </w:pPr>
            <w:r>
              <w:rPr>
                <w:rFonts w:hint="eastAsia" w:asciiTheme="minorEastAsia" w:hAnsiTheme="minorEastAsia" w:eastAsiaTheme="minorEastAsia"/>
                <w:szCs w:val="24"/>
              </w:rPr>
              <w:t>装备制造大类（66）</w:t>
            </w:r>
          </w:p>
        </w:tc>
        <w:tc>
          <w:tcPr>
            <w:tcW w:w="1535" w:type="dxa"/>
            <w:shd w:val="clear" w:color="auto" w:fill="auto"/>
            <w:vAlign w:val="center"/>
          </w:tcPr>
          <w:p>
            <w:pPr>
              <w:ind w:firstLine="0" w:firstLineChars="0"/>
              <w:jc w:val="center"/>
              <w:rPr>
                <w:rFonts w:asciiTheme="minorEastAsia" w:hAnsiTheme="minorEastAsia" w:eastAsiaTheme="minorEastAsia"/>
                <w:szCs w:val="24"/>
              </w:rPr>
            </w:pPr>
            <w:r>
              <w:rPr>
                <w:rFonts w:hint="eastAsia" w:asciiTheme="minorEastAsia" w:hAnsiTheme="minorEastAsia" w:eastAsiaTheme="minorEastAsia"/>
                <w:szCs w:val="24"/>
              </w:rPr>
              <w:t>机电设备类</w:t>
            </w:r>
          </w:p>
          <w:p>
            <w:pPr>
              <w:ind w:firstLine="0" w:firstLineChars="0"/>
              <w:jc w:val="center"/>
              <w:rPr>
                <w:rFonts w:asciiTheme="minorEastAsia" w:hAnsiTheme="minorEastAsia" w:eastAsiaTheme="minorEastAsia"/>
                <w:szCs w:val="24"/>
              </w:rPr>
            </w:pPr>
            <w:r>
              <w:rPr>
                <w:rFonts w:hint="eastAsia" w:asciiTheme="minorEastAsia" w:hAnsiTheme="minorEastAsia" w:eastAsiaTheme="minorEastAsia"/>
                <w:szCs w:val="24"/>
              </w:rPr>
              <w:t>（6602）</w:t>
            </w:r>
          </w:p>
        </w:tc>
        <w:tc>
          <w:tcPr>
            <w:tcW w:w="1521" w:type="dxa"/>
            <w:shd w:val="clear" w:color="auto" w:fill="auto"/>
            <w:vAlign w:val="center"/>
          </w:tcPr>
          <w:p>
            <w:pPr>
              <w:ind w:firstLine="0" w:firstLineChars="0"/>
              <w:jc w:val="center"/>
              <w:rPr>
                <w:rFonts w:asciiTheme="minorEastAsia" w:hAnsiTheme="minorEastAsia" w:eastAsiaTheme="minorEastAsia"/>
                <w:szCs w:val="24"/>
              </w:rPr>
            </w:pPr>
            <w:r>
              <w:rPr>
                <w:rFonts w:hint="eastAsia" w:asciiTheme="minorEastAsia" w:hAnsiTheme="minorEastAsia" w:eastAsiaTheme="minorEastAsia"/>
                <w:szCs w:val="24"/>
              </w:rPr>
              <w:t>制造业</w:t>
            </w:r>
          </w:p>
          <w:p>
            <w:pPr>
              <w:ind w:firstLine="0" w:firstLineChars="0"/>
              <w:jc w:val="center"/>
              <w:rPr>
                <w:rFonts w:asciiTheme="minorEastAsia" w:hAnsiTheme="minorEastAsia" w:eastAsiaTheme="minorEastAsia"/>
                <w:szCs w:val="24"/>
              </w:rPr>
            </w:pPr>
            <w:r>
              <w:rPr>
                <w:rFonts w:hint="eastAsia" w:asciiTheme="minorEastAsia" w:hAnsiTheme="minorEastAsia" w:eastAsiaTheme="minorEastAsia"/>
                <w:szCs w:val="24"/>
              </w:rPr>
              <w:t>（C343）</w:t>
            </w:r>
          </w:p>
        </w:tc>
        <w:tc>
          <w:tcPr>
            <w:tcW w:w="1896" w:type="dxa"/>
            <w:shd w:val="clear" w:color="auto" w:fill="auto"/>
            <w:vAlign w:val="center"/>
          </w:tcPr>
          <w:p>
            <w:pPr>
              <w:ind w:firstLine="0" w:firstLineChars="0"/>
              <w:jc w:val="left"/>
              <w:rPr>
                <w:rFonts w:asciiTheme="minorEastAsia" w:hAnsiTheme="minorEastAsia" w:eastAsiaTheme="minorEastAsia"/>
                <w:szCs w:val="24"/>
              </w:rPr>
            </w:pPr>
            <w:r>
              <w:rPr>
                <w:rFonts w:hint="eastAsia" w:asciiTheme="minorEastAsia" w:hAnsiTheme="minorEastAsia" w:eastAsiaTheme="minorEastAsia"/>
                <w:szCs w:val="24"/>
              </w:rPr>
              <w:t>1.电梯安装维修工（6-29-03-03）</w:t>
            </w:r>
          </w:p>
          <w:p>
            <w:pPr>
              <w:ind w:firstLine="0" w:firstLineChars="0"/>
              <w:jc w:val="left"/>
              <w:rPr>
                <w:rFonts w:asciiTheme="minorEastAsia" w:hAnsiTheme="minorEastAsia" w:eastAsiaTheme="minorEastAsia"/>
                <w:szCs w:val="24"/>
              </w:rPr>
            </w:pPr>
            <w:r>
              <w:rPr>
                <w:rFonts w:hint="eastAsia" w:asciiTheme="minorEastAsia" w:hAnsiTheme="minorEastAsia" w:eastAsiaTheme="minorEastAsia"/>
                <w:szCs w:val="24"/>
              </w:rPr>
              <w:t>2.电梯装配调试工（6-20-04-00）</w:t>
            </w:r>
          </w:p>
          <w:p>
            <w:pPr>
              <w:ind w:firstLine="0" w:firstLineChars="0"/>
              <w:jc w:val="left"/>
              <w:rPr>
                <w:rFonts w:asciiTheme="minorEastAsia" w:hAnsiTheme="minorEastAsia" w:eastAsiaTheme="minorEastAsia"/>
                <w:szCs w:val="24"/>
              </w:rPr>
            </w:pPr>
            <w:r>
              <w:rPr>
                <w:rFonts w:hint="eastAsia" w:asciiTheme="minorEastAsia" w:hAnsiTheme="minorEastAsia" w:eastAsiaTheme="minorEastAsia"/>
                <w:szCs w:val="24"/>
              </w:rPr>
              <w:t>3.安全员（6-31-06-00）</w:t>
            </w:r>
          </w:p>
          <w:p>
            <w:pPr>
              <w:ind w:firstLine="0" w:firstLineChars="0"/>
              <w:jc w:val="left"/>
              <w:rPr>
                <w:rFonts w:asciiTheme="minorEastAsia" w:hAnsiTheme="minorEastAsia" w:eastAsiaTheme="minorEastAsia"/>
                <w:szCs w:val="24"/>
              </w:rPr>
            </w:pPr>
            <w:r>
              <w:rPr>
                <w:rFonts w:hint="eastAsia" w:asciiTheme="minorEastAsia" w:hAnsiTheme="minorEastAsia" w:eastAsiaTheme="minorEastAsia"/>
                <w:szCs w:val="24"/>
              </w:rPr>
              <w:t>4.电工（</w:t>
            </w:r>
            <w:r>
              <w:rPr>
                <w:rFonts w:asciiTheme="minorEastAsia" w:hAnsiTheme="minorEastAsia" w:eastAsiaTheme="minorEastAsia"/>
                <w:szCs w:val="24"/>
              </w:rPr>
              <w:t>6-31-01-03</w:t>
            </w:r>
            <w:r>
              <w:rPr>
                <w:rFonts w:hint="eastAsia" w:asciiTheme="minorEastAsia" w:hAnsiTheme="minorEastAsia" w:eastAsiaTheme="minorEastAsia"/>
                <w:szCs w:val="24"/>
              </w:rPr>
              <w:t>）</w:t>
            </w:r>
          </w:p>
        </w:tc>
        <w:tc>
          <w:tcPr>
            <w:tcW w:w="1673" w:type="dxa"/>
            <w:shd w:val="clear" w:color="auto" w:fill="auto"/>
            <w:vAlign w:val="center"/>
          </w:tcPr>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1.电梯安装岗</w:t>
            </w:r>
          </w:p>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2.电梯维修保养岗</w:t>
            </w:r>
          </w:p>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3.电梯机械装配工</w:t>
            </w:r>
          </w:p>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4.电梯电气装配工</w:t>
            </w:r>
          </w:p>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5.电梯安全管理人员岗</w:t>
            </w:r>
          </w:p>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6.电工安装维修人员岗</w:t>
            </w:r>
          </w:p>
        </w:tc>
        <w:tc>
          <w:tcPr>
            <w:tcW w:w="1514" w:type="dxa"/>
            <w:shd w:val="clear" w:color="auto" w:fill="auto"/>
            <w:vAlign w:val="center"/>
          </w:tcPr>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1.电工技能课程证书</w:t>
            </w:r>
          </w:p>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2.1+X电梯维修保养职业技能等级证书</w:t>
            </w:r>
          </w:p>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3.全国计算机等级证书</w:t>
            </w:r>
          </w:p>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4.电梯维修工操作证（选考）</w:t>
            </w:r>
          </w:p>
          <w:p>
            <w:pPr>
              <w:ind w:firstLine="0" w:firstLineChars="0"/>
              <w:rPr>
                <w:rFonts w:asciiTheme="minorEastAsia" w:hAnsiTheme="minorEastAsia" w:eastAsiaTheme="minorEastAsia"/>
                <w:szCs w:val="24"/>
              </w:rPr>
            </w:pPr>
            <w:r>
              <w:rPr>
                <w:rFonts w:hint="eastAsia" w:asciiTheme="minorEastAsia" w:hAnsiTheme="minorEastAsia" w:eastAsiaTheme="minorEastAsia"/>
                <w:szCs w:val="24"/>
              </w:rPr>
              <w:t>5.电工操作证（选考）</w:t>
            </w:r>
          </w:p>
        </w:tc>
      </w:tr>
    </w:tbl>
    <w:p>
      <w:pPr>
        <w:pStyle w:val="3"/>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五、培养目标与培养规格</w:t>
      </w:r>
    </w:p>
    <w:p>
      <w:pPr>
        <w:ind w:firstLine="482"/>
        <w:rPr>
          <w:rFonts w:asciiTheme="minorEastAsia" w:hAnsiTheme="minorEastAsia" w:eastAsiaTheme="minorEastAsia"/>
          <w:b/>
          <w:szCs w:val="24"/>
        </w:rPr>
      </w:pPr>
      <w:r>
        <w:rPr>
          <w:rFonts w:hint="eastAsia" w:asciiTheme="minorEastAsia" w:hAnsiTheme="minorEastAsia" w:eastAsiaTheme="minorEastAsia"/>
          <w:b/>
          <w:szCs w:val="24"/>
        </w:rPr>
        <w:t>（一）培养目标</w:t>
      </w:r>
    </w:p>
    <w:p>
      <w:pPr>
        <w:ind w:firstLine="480"/>
        <w:rPr>
          <w:rFonts w:asciiTheme="minorEastAsia" w:hAnsiTheme="minorEastAsia" w:eastAsiaTheme="minorEastAsia"/>
          <w:szCs w:val="24"/>
        </w:rPr>
      </w:pPr>
      <w:r>
        <w:rPr>
          <w:rFonts w:hint="eastAsia" w:asciiTheme="minorEastAsia" w:hAnsiTheme="minorEastAsia" w:eastAsiaTheme="minorEastAsia"/>
          <w:szCs w:val="24"/>
        </w:rPr>
        <w:t>本专业坚持立德树人，面向粤港澳大湾区电梯行业企业，培养从事电梯安装岗、电梯维修保养岗、电梯机械装配工、电梯电气装配工、电梯安全管理人员岗、电工安装维修人员岗等工作，掌握电梯安装、维保等专业知识和职业技能，具备行业职业资格，热爱祖国，具有良好的职业道德和人文素养，能够弘扬劳动精神、工匠精神和创新精神，德、智、体、美、劳全面发展，与新时代中国特色社会主义建设相适应的高素质劳动者和技术技能人才。</w:t>
      </w:r>
    </w:p>
    <w:p>
      <w:pPr>
        <w:ind w:firstLine="482"/>
        <w:rPr>
          <w:rFonts w:asciiTheme="minorEastAsia" w:hAnsiTheme="minorEastAsia" w:eastAsiaTheme="minorEastAsia"/>
          <w:b/>
          <w:szCs w:val="24"/>
        </w:rPr>
      </w:pPr>
      <w:r>
        <w:rPr>
          <w:rFonts w:hint="eastAsia" w:asciiTheme="minorEastAsia" w:hAnsiTheme="minorEastAsia" w:eastAsiaTheme="minorEastAsia"/>
          <w:b/>
          <w:szCs w:val="24"/>
        </w:rPr>
        <w:t>（二）培养规格</w:t>
      </w:r>
    </w:p>
    <w:p>
      <w:pPr>
        <w:ind w:firstLine="480"/>
        <w:rPr>
          <w:rFonts w:asciiTheme="minorEastAsia" w:hAnsiTheme="minorEastAsia" w:eastAsiaTheme="minorEastAsia"/>
          <w:szCs w:val="24"/>
        </w:rPr>
      </w:pPr>
      <w:r>
        <w:rPr>
          <w:rFonts w:hint="eastAsia" w:asciiTheme="minorEastAsia" w:hAnsiTheme="minorEastAsia" w:eastAsiaTheme="minorEastAsia"/>
          <w:szCs w:val="24"/>
        </w:rPr>
        <w:t>1.职业素养</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①热爱社会主义祖国，将实现自身价值与服务祖国人民相结合，树立社会主义民主观念和遵纪守法意识，遵守职业岗位规范；树立尊重自然、顺应自然、保护自然的生态文明理念；树立正确的职业理想，形成正确的就业观、创业观，做好适应社会、融入社会、就业创业准备。</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②具有社会公德、职业道德意识和文明行为习惯，自觉践行社会主义核心价值观。</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③具有健全的人格、良好的心理品质和健康的身体，提高应对挫折、合作与竞争、适应社会的能力。</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④具有学习沟通能力和团队合作精神。</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⑤具有职业安全意识及职业道德素养。</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⑥具有崇尚劳动、热爱劳动、辛勤劳动、诚实劳动的劳动精神。</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⑦具有执着专注、精益求精、一丝不苟、追求卓越的工匠精神。</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⑧具有一定的国家安全意识和维护国家安全的能力。</w:t>
      </w:r>
    </w:p>
    <w:p>
      <w:pPr>
        <w:ind w:firstLine="480"/>
        <w:rPr>
          <w:rFonts w:hint="eastAsia" w:ascii="Cambria Math" w:hAnsi="Cambria Math" w:eastAsiaTheme="minorEastAsia"/>
          <w:szCs w:val="24"/>
          <w:lang w:eastAsia="ja-JP"/>
        </w:rPr>
      </w:pPr>
      <w:r>
        <w:rPr>
          <w:rFonts w:hint="eastAsia" w:asciiTheme="minorEastAsia" w:hAnsiTheme="minorEastAsia" w:eastAsiaTheme="minorEastAsia"/>
          <w:szCs w:val="24"/>
        </w:rPr>
        <w:t>2.专业知识和技能</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①具有电气电路的读图和识图能力；</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②运用CAD计算机辅助设计与绘制电路图能力；</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③具有低压电工安装、维修和调试等基本能力；</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④具有使用及维护PLC自动化设备的基本能力；</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⑤具有运用电力拖动、变频器、触摸屏等知识对电动机实现控制的能力；</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⑥具有电梯设备安装、运行调试、维护保养、修理等方面的能力；</w:t>
      </w:r>
    </w:p>
    <w:p>
      <w:pPr>
        <w:ind w:firstLine="480"/>
        <w:rPr>
          <w:rFonts w:asciiTheme="minorEastAsia" w:hAnsiTheme="minorEastAsia" w:eastAsiaTheme="minorEastAsia"/>
          <w:szCs w:val="24"/>
        </w:rPr>
      </w:pPr>
      <w:r>
        <w:rPr>
          <w:rFonts w:hint="eastAsia" w:asciiTheme="minorEastAsia" w:hAnsiTheme="minorEastAsia" w:eastAsiaTheme="minorEastAsia"/>
          <w:szCs w:val="24"/>
        </w:rPr>
        <w:t>⑦具有电梯控制柜、低压配电柜等电气设备安装、调试、维护的能力。</w:t>
      </w:r>
    </w:p>
    <w:p>
      <w:pPr>
        <w:pStyle w:val="3"/>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六、课程设置及要求</w:t>
      </w:r>
    </w:p>
    <w:p>
      <w:pPr>
        <w:ind w:firstLine="482"/>
        <w:rPr>
          <w:rFonts w:asciiTheme="minorEastAsia" w:hAnsiTheme="minorEastAsia" w:eastAsiaTheme="minorEastAsia"/>
          <w:b/>
          <w:szCs w:val="24"/>
        </w:rPr>
      </w:pPr>
      <w:r>
        <w:rPr>
          <w:rFonts w:hint="eastAsia" w:asciiTheme="minorEastAsia" w:hAnsiTheme="minorEastAsia" w:eastAsiaTheme="minorEastAsia"/>
          <w:b/>
          <w:szCs w:val="24"/>
        </w:rPr>
        <w:t>（一）公共基础课程</w:t>
      </w:r>
    </w:p>
    <w:p>
      <w:pPr>
        <w:ind w:firstLine="480"/>
        <w:rPr>
          <w:rFonts w:asciiTheme="minorEastAsia" w:hAnsiTheme="minorEastAsia" w:eastAsiaTheme="minorEastAsia"/>
          <w:szCs w:val="24"/>
        </w:rPr>
      </w:pPr>
      <w:r>
        <w:rPr>
          <w:rFonts w:hint="eastAsia" w:asciiTheme="minorEastAsia" w:hAnsiTheme="minorEastAsia" w:eastAsiaTheme="minorEastAsia"/>
          <w:szCs w:val="24"/>
        </w:rPr>
        <w:t>公共基础课包括思想政治、语文、数学、英语、体育与健康、信息技术、历史、中华优秀传统文化、职业素养、艺术、化学、物理、劳动教育、国家安全教育等各门课程，主要内容和教学要求如下：</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思想政治</w:t>
      </w:r>
    </w:p>
    <w:p>
      <w:pPr>
        <w:ind w:firstLine="480"/>
        <w:rPr>
          <w:rFonts w:asciiTheme="minorEastAsia" w:hAnsiTheme="minorEastAsia" w:eastAsiaTheme="minorEastAsia"/>
          <w:szCs w:val="24"/>
        </w:rPr>
      </w:pPr>
      <w:r>
        <w:rPr>
          <w:rFonts w:hint="eastAsia" w:asciiTheme="minorEastAsia" w:hAnsiTheme="minorEastAsia" w:eastAsiaTheme="minorEastAsia"/>
          <w:szCs w:val="24"/>
        </w:rPr>
        <w:t>本课程以立德树人为根本任务，以培育思想政治学科核心素养为主导（中等职业学校思想政治学科核心素养主要包括政治认同、职业精神、法治意识、健全人格和公共参与），帮助中等职业学校学生确立正确的政治方向，坚定理想信念，厚植爱国主义情怀，提高职业道德素质、法治素养和心理健康水平，促进学生健康成长、全面发展，培养拥护中国共产党领导和我国社会主义制度、立志为中国特色社会主义事业奋斗终身的有用人才。主要内容有中国特色社会主义、心理健康与职业生涯、哲学与人生、职业道德与法治。</w:t>
      </w:r>
    </w:p>
    <w:p>
      <w:pPr>
        <w:ind w:firstLine="480"/>
        <w:rPr>
          <w:rFonts w:asciiTheme="minorEastAsia" w:hAnsiTheme="minorEastAsia" w:eastAsiaTheme="minorEastAsia"/>
          <w:szCs w:val="24"/>
        </w:rPr>
      </w:pPr>
      <w:r>
        <w:rPr>
          <w:rFonts w:hint="eastAsia" w:asciiTheme="minorEastAsia" w:hAnsiTheme="minorEastAsia" w:eastAsiaTheme="minorEastAsia"/>
          <w:szCs w:val="24"/>
        </w:rPr>
        <w:t>教学过程中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要坚持正确育人导向，强化价值引领，准确理解学科核心素养，科学制定教学目标，围绕议题设计活动，注重探讨式和体验性学习，加强社会实践活动，打造培育学科核心素养的社会大课堂运用现代信息技术，提高教学效率，有效提高教学质量。</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语文</w:t>
      </w:r>
    </w:p>
    <w:p>
      <w:pPr>
        <w:ind w:firstLine="480"/>
        <w:rPr>
          <w:rFonts w:asciiTheme="minorEastAsia" w:hAnsiTheme="minorEastAsia" w:eastAsiaTheme="minorEastAsia"/>
          <w:szCs w:val="24"/>
        </w:rPr>
      </w:pPr>
      <w:r>
        <w:rPr>
          <w:rFonts w:hint="eastAsia" w:asciiTheme="minorEastAsia" w:hAnsiTheme="minorEastAsia" w:eastAsiaTheme="minorEastAsia"/>
          <w:szCs w:val="24"/>
        </w:rPr>
        <w:t>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中等职业学校语文课程由基础模块、职业模块和拓展模块构成。课程设置遵循祖国语言文字的学习规律和技术技能人才的成长规律，依据学生身心发展特点，以语文学科核心素养为统领，整体建构、系统设计。</w:t>
      </w:r>
    </w:p>
    <w:p>
      <w:pPr>
        <w:ind w:firstLine="480"/>
        <w:rPr>
          <w:rFonts w:asciiTheme="minorEastAsia" w:hAnsiTheme="minorEastAsia" w:eastAsiaTheme="minorEastAsia"/>
          <w:szCs w:val="24"/>
        </w:rPr>
      </w:pPr>
      <w:r>
        <w:rPr>
          <w:rFonts w:hint="eastAsia" w:asciiTheme="minorEastAsia" w:hAnsiTheme="minorEastAsia" w:eastAsiaTheme="minorEastAsia"/>
          <w:szCs w:val="24"/>
        </w:rPr>
        <w:t>在教学过程中坚持立德树人，发挥语文课程独特的育人功能，</w:t>
      </w:r>
      <w:r>
        <w:rPr>
          <w:rFonts w:asciiTheme="minorEastAsia" w:hAnsiTheme="minorEastAsia" w:eastAsiaTheme="minorEastAsia"/>
          <w:szCs w:val="24"/>
        </w:rPr>
        <w:t> </w:t>
      </w:r>
      <w:r>
        <w:rPr>
          <w:rFonts w:hint="eastAsia" w:asciiTheme="minorEastAsia" w:hAnsiTheme="minorEastAsia" w:eastAsiaTheme="minorEastAsia"/>
          <w:szCs w:val="24"/>
        </w:rPr>
        <w:t>整体把握语文学科核心素养，合理设计教学活动，以学生发展为本，根据学生认知特点和能力水平组织教学，体现职业教育特点，加强实践与应用中等职业学校语文课程，提高信息素养，探索信息化背景下教与学方式的转变。</w:t>
      </w:r>
    </w:p>
    <w:p>
      <w:pPr>
        <w:ind w:firstLine="480"/>
        <w:rPr>
          <w:rFonts w:asciiTheme="minorEastAsia" w:hAnsiTheme="minorEastAsia" w:eastAsiaTheme="minorEastAsia"/>
          <w:szCs w:val="24"/>
        </w:rPr>
      </w:pPr>
      <w:r>
        <w:rPr>
          <w:rFonts w:hint="eastAsia" w:asciiTheme="minorEastAsia" w:hAnsiTheme="minorEastAsia" w:eastAsiaTheme="minorEastAsia"/>
          <w:szCs w:val="24"/>
        </w:rPr>
        <w:t>3</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数学</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的主动性和自信心，养成理性思维、敢于质疑、善于思考的科学精神和精益求精的工匠精神，加深对数学的科学价值、应用价值、文化价值和审美价值的认识。使学生逐步提高数学运算、直观想象、逻辑推理、数学抽象、数据分析和数学建模等数学学科核心素养，初步学会用数学眼光观察世界、用数学思维分析世界、用数学语言表达世界。主要内容有基础模块和拓展模块。</w:t>
      </w:r>
    </w:p>
    <w:p>
      <w:pPr>
        <w:ind w:firstLine="480"/>
        <w:rPr>
          <w:rFonts w:asciiTheme="minorEastAsia" w:hAnsiTheme="minorEastAsia" w:eastAsiaTheme="minorEastAsia"/>
          <w:szCs w:val="24"/>
        </w:rPr>
      </w:pPr>
      <w:r>
        <w:rPr>
          <w:rFonts w:hint="eastAsia" w:asciiTheme="minorEastAsia" w:hAnsiTheme="minorEastAsia" w:eastAsiaTheme="minorEastAsia"/>
          <w:szCs w:val="24"/>
        </w:rPr>
        <w:t>在教学过程中遵循数学教育规律，围绕课程目标，发展和提升数学学科核心素养，按照课程内容确定教学计划，创设教学情境，完成课程任务；教学要体现职教特色，遵循技术技能人才的成长规律；教学中要合理融入思想政治教育，引导学生增强职业道德修养，提高职业素养。</w:t>
      </w:r>
    </w:p>
    <w:p>
      <w:pPr>
        <w:ind w:firstLine="480"/>
        <w:rPr>
          <w:rFonts w:asciiTheme="minorEastAsia" w:hAnsiTheme="minorEastAsia" w:eastAsiaTheme="minorEastAsia"/>
          <w:szCs w:val="24"/>
        </w:rPr>
      </w:pPr>
      <w:r>
        <w:rPr>
          <w:rFonts w:hint="eastAsia" w:asciiTheme="minorEastAsia" w:hAnsiTheme="minorEastAsia" w:eastAsiaTheme="minorEastAsia"/>
          <w:szCs w:val="24"/>
        </w:rPr>
        <w:t>4</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英语</w:t>
      </w:r>
    </w:p>
    <w:p>
      <w:pPr>
        <w:ind w:firstLine="480"/>
        <w:rPr>
          <w:rFonts w:asciiTheme="minorEastAsia" w:hAnsiTheme="minorEastAsia" w:eastAsiaTheme="minorEastAsia"/>
          <w:szCs w:val="24"/>
        </w:rPr>
      </w:pPr>
      <w:r>
        <w:rPr>
          <w:rFonts w:hint="eastAsia" w:asciiTheme="minorEastAsia" w:hAnsiTheme="minorEastAsia" w:eastAsiaTheme="minorEastAsia"/>
          <w:szCs w:val="24"/>
        </w:rPr>
        <w:t>在英语学习中全面贯彻党的教育方针，落实立德树人根本任务，在义务教育的基础上，进一步激发学生英语学习的兴趣，帮助学生掌握基础知识和基本技能，发展英语学科核心素养，为学生的职业生涯、继续学习和终身发展奠定基础。主要内容有基础模块、职业模块、拓展模块。</w:t>
      </w:r>
    </w:p>
    <w:p>
      <w:pPr>
        <w:ind w:firstLine="480"/>
        <w:rPr>
          <w:rFonts w:asciiTheme="minorEastAsia" w:hAnsiTheme="minorEastAsia" w:eastAsiaTheme="minorEastAsia"/>
          <w:szCs w:val="24"/>
        </w:rPr>
      </w:pPr>
      <w:r>
        <w:rPr>
          <w:rFonts w:hint="eastAsia" w:asciiTheme="minorEastAsia" w:hAnsiTheme="minorEastAsia" w:eastAsiaTheme="minorEastAsia"/>
          <w:szCs w:val="24"/>
        </w:rPr>
        <w:t>在教学过程中遵循英语教学规律，制定教学计划，创设教学情境，完成课程任务时，应体现职教特色，注重实践应用 ，在教学中合理融入德育教育，引导学生树立积极的世界观 、人生观和价值观。</w:t>
      </w:r>
    </w:p>
    <w:p>
      <w:pPr>
        <w:ind w:firstLine="480"/>
        <w:rPr>
          <w:rFonts w:asciiTheme="minorEastAsia" w:hAnsiTheme="minorEastAsia" w:eastAsiaTheme="minorEastAsia"/>
          <w:szCs w:val="24"/>
        </w:rPr>
      </w:pPr>
      <w:r>
        <w:rPr>
          <w:rFonts w:hint="eastAsia" w:asciiTheme="minorEastAsia" w:hAnsiTheme="minorEastAsia" w:eastAsiaTheme="minorEastAsia"/>
          <w:szCs w:val="24"/>
        </w:rPr>
        <w:t>5</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体育与健康</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学习本课程，学生能够喜爱并积极参与体育运动，享受体育运动的乐趣。学会锻炼身体的科学方法，掌握1-2项体育运动技能，提高体育运动能力，提高职业体能水平.树立健康观念，掌握健康知识和与职业相关的健康安全知识，形成健康文明的生活方式。遵守体育道德规范和行为准则，发扬体育精神，塑造良好体育品格，增强责任意识、规范意识和团队意识。学生能在体育锻炼增强体质、健全人格、锤炼意志，使学生在运动能力、健康行为和体育精神三方面获得全面发展。</w:t>
      </w:r>
    </w:p>
    <w:p>
      <w:pPr>
        <w:ind w:firstLine="480"/>
        <w:rPr>
          <w:rFonts w:asciiTheme="minorEastAsia" w:hAnsiTheme="minorEastAsia" w:eastAsiaTheme="minorEastAsia"/>
          <w:szCs w:val="24"/>
        </w:rPr>
      </w:pPr>
      <w:r>
        <w:rPr>
          <w:rFonts w:hint="eastAsia" w:asciiTheme="minorEastAsia" w:hAnsiTheme="minorEastAsia" w:eastAsiaTheme="minorEastAsia"/>
          <w:szCs w:val="24"/>
        </w:rPr>
        <w:t>教学过程运用多种手段提高学生的各项身体素质。首先在教学中要注重学生理论知识，安全知识的教学，使学生学会科学的锻炼方法以及各种安全事项的应急处理方法。其次在教学中要发展学生心肺耐力、肌肉力量、肌肉耐力，发展速度、爆发力、柔韧性、平衡性、协调性和反应时等各种身体基本素质。第三要根据学生的专业发展学生的职业体能。学生能在体育锻炼增强体质、健全人格、锤炼意志，使学生在运动能力、健康行为和体育精神三方面获得全面发展。</w:t>
      </w:r>
    </w:p>
    <w:p>
      <w:pPr>
        <w:ind w:firstLine="480"/>
        <w:rPr>
          <w:rFonts w:asciiTheme="minorEastAsia" w:hAnsiTheme="minorEastAsia" w:eastAsiaTheme="minorEastAsia"/>
          <w:szCs w:val="24"/>
        </w:rPr>
      </w:pPr>
      <w:r>
        <w:rPr>
          <w:rFonts w:hint="eastAsia" w:asciiTheme="minorEastAsia" w:hAnsiTheme="minorEastAsia" w:eastAsiaTheme="minorEastAsia"/>
          <w:szCs w:val="24"/>
        </w:rPr>
        <w:t>6</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信息技术</w:t>
      </w:r>
    </w:p>
    <w:p>
      <w:pPr>
        <w:ind w:firstLine="480"/>
        <w:rPr>
          <w:rFonts w:asciiTheme="minorEastAsia" w:hAnsiTheme="minorEastAsia" w:eastAsiaTheme="minorEastAsia"/>
          <w:szCs w:val="24"/>
        </w:rPr>
      </w:pPr>
      <w:r>
        <w:rPr>
          <w:rFonts w:hint="eastAsia" w:asciiTheme="minorEastAsia" w:hAnsiTheme="minorEastAsia" w:eastAsiaTheme="minorEastAsia"/>
          <w:szCs w:val="24"/>
        </w:rPr>
        <w:t>在初中相关课程基础上，通过信息技术基础知识与技能的学习，有助于学生增强信息意识、发展计算思维、提高数字化学习与创新能力，树立正确的信息社会价值观和责任感。把学生培养成为符合时代要求的信息素养与适应职业发展需要的信息能力的技术技能人才。</w:t>
      </w:r>
    </w:p>
    <w:p>
      <w:pPr>
        <w:ind w:firstLine="480"/>
        <w:rPr>
          <w:rFonts w:asciiTheme="minorEastAsia" w:hAnsiTheme="minorEastAsia" w:eastAsiaTheme="minorEastAsia"/>
          <w:szCs w:val="24"/>
        </w:rPr>
      </w:pPr>
      <w:r>
        <w:rPr>
          <w:rFonts w:hint="eastAsia" w:asciiTheme="minorEastAsia" w:hAnsiTheme="minorEastAsia" w:eastAsiaTheme="minorEastAsia"/>
          <w:szCs w:val="24"/>
        </w:rPr>
        <w:t xml:space="preserve">本课程通过多样化教学方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 在数字化学习与创新过程中培养独立思考和主动探究能力，不断强化认知、合作、创新能力，为职业能力的提升奠定基础。本课程学习内容：信息技术应用基础、网络应用、图文编辑、数据处理、程序设计入门、数字媒体技术应用、信息安全基础、人工智能初步8个部分。 </w:t>
      </w:r>
    </w:p>
    <w:p>
      <w:pPr>
        <w:ind w:firstLine="480"/>
        <w:rPr>
          <w:rFonts w:asciiTheme="minorEastAsia" w:hAnsiTheme="minorEastAsia" w:eastAsiaTheme="minorEastAsia"/>
          <w:szCs w:val="24"/>
        </w:rPr>
      </w:pPr>
      <w:r>
        <w:rPr>
          <w:rFonts w:hint="eastAsia" w:asciiTheme="minorEastAsia" w:hAnsiTheme="minorEastAsia" w:eastAsiaTheme="minorEastAsia"/>
          <w:szCs w:val="24"/>
        </w:rPr>
        <w:t>7</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历史</w:t>
      </w:r>
    </w:p>
    <w:p>
      <w:pPr>
        <w:ind w:firstLine="480"/>
        <w:rPr>
          <w:rFonts w:asciiTheme="minorEastAsia" w:hAnsiTheme="minorEastAsia" w:eastAsiaTheme="minorEastAsia"/>
          <w:szCs w:val="24"/>
        </w:rPr>
      </w:pPr>
      <w:r>
        <w:rPr>
          <w:rFonts w:hint="eastAsia" w:asciiTheme="minorEastAsia" w:hAnsiTheme="minorEastAsia" w:eastAsiaTheme="minorEastAsia"/>
          <w:szCs w:val="24"/>
        </w:rPr>
        <w:t>在历史学习中落实立德树人的根本任务，掌握必备的历史知识，形成历史学科核心素养。了解唯物史观的基本观点和方法，知道特定的史事是与特定的时间和空间相联系的，知道史料是通向历史认识的桥梁，能够依据史实与史料对史事表达自己的看法，树立正确的国家观，增强对祖国的认同感。主要内容有中国历史和世界历史。</w:t>
      </w:r>
    </w:p>
    <w:p>
      <w:pPr>
        <w:ind w:firstLine="480"/>
        <w:rPr>
          <w:rFonts w:asciiTheme="minorEastAsia" w:hAnsiTheme="minorEastAsia" w:eastAsiaTheme="minorEastAsia"/>
          <w:szCs w:val="24"/>
        </w:rPr>
      </w:pPr>
      <w:r>
        <w:rPr>
          <w:rFonts w:hint="eastAsia" w:asciiTheme="minorEastAsia" w:hAnsiTheme="minorEastAsia" w:eastAsiaTheme="minorEastAsia"/>
          <w:szCs w:val="24"/>
        </w:rPr>
        <w:t>在教学过程中要基于历史学科核心素养设计教学，倡导多元化的教学方式，注重历史学习与学生职业发展的融合，加强现代信息技术在历史教学中的应用。</w:t>
      </w:r>
    </w:p>
    <w:p>
      <w:pPr>
        <w:ind w:firstLine="480"/>
        <w:rPr>
          <w:rFonts w:asciiTheme="minorEastAsia" w:hAnsiTheme="minorEastAsia" w:eastAsiaTheme="minorEastAsia"/>
          <w:szCs w:val="24"/>
        </w:rPr>
      </w:pPr>
      <w:r>
        <w:rPr>
          <w:rFonts w:hint="eastAsia" w:asciiTheme="minorEastAsia" w:hAnsiTheme="minorEastAsia" w:eastAsiaTheme="minorEastAsia"/>
          <w:szCs w:val="24"/>
        </w:rPr>
        <w:t>8</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中华优秀传统文化</w:t>
      </w:r>
    </w:p>
    <w:p>
      <w:pPr>
        <w:ind w:firstLine="480"/>
        <w:rPr>
          <w:rFonts w:asciiTheme="minorEastAsia" w:hAnsiTheme="minorEastAsia" w:eastAsiaTheme="minorEastAsia"/>
          <w:szCs w:val="24"/>
        </w:rPr>
      </w:pPr>
      <w:r>
        <w:rPr>
          <w:rFonts w:hint="eastAsia" w:asciiTheme="minorEastAsia" w:hAnsiTheme="minorEastAsia" w:eastAsiaTheme="minorEastAsia"/>
          <w:szCs w:val="24"/>
        </w:rPr>
        <w:t>《中华优秀传统文化》是一门培养中职学生进取心、增强中华文化的认同感与凝聚力的课程。本课程立足初中文化传承与参与的基础，初步具有对中华文化的理解和吸收、传承和发展的能力，继承和弘扬中华优秀传统文化、革命文化、社会主义先进文化，吸收人类文化知识积累和创新成果，并在学习中拓宽文化视野，培育劳动精神，弘扬劳模精神、工匠精神，增强文化自觉和文化自信。</w:t>
      </w:r>
    </w:p>
    <w:p>
      <w:pPr>
        <w:ind w:firstLine="480"/>
        <w:rPr>
          <w:rFonts w:asciiTheme="minorEastAsia" w:hAnsiTheme="minorEastAsia" w:eastAsiaTheme="minorEastAsia"/>
          <w:szCs w:val="24"/>
        </w:rPr>
      </w:pPr>
      <w:r>
        <w:rPr>
          <w:rFonts w:hint="eastAsia" w:asciiTheme="minorEastAsia" w:hAnsiTheme="minorEastAsia" w:eastAsiaTheme="minorEastAsia"/>
          <w:szCs w:val="24"/>
        </w:rPr>
        <w:t>本课程高度概括中华文化的特征，通过分析中国人解决和思考问题的习惯（思维方式），将中华优秀传统文化的主要组成要素（思想、文学、艺术、科技、教育等）的基本特征阐释出来，既让学生掌握中华文化各组成要素的特征，又让学生学到自己去分析各种文化现象的方法。</w:t>
      </w:r>
    </w:p>
    <w:p>
      <w:pPr>
        <w:ind w:firstLine="480"/>
        <w:rPr>
          <w:rFonts w:asciiTheme="minorEastAsia" w:hAnsiTheme="minorEastAsia" w:eastAsiaTheme="minorEastAsia"/>
          <w:szCs w:val="24"/>
        </w:rPr>
      </w:pPr>
      <w:r>
        <w:rPr>
          <w:rFonts w:hint="eastAsia" w:asciiTheme="minorEastAsia" w:hAnsiTheme="minorEastAsia" w:eastAsiaTheme="minorEastAsia"/>
          <w:szCs w:val="24"/>
        </w:rPr>
        <w:t>9</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 xml:space="preserve">职业素养 </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本课程的教学，帮助学生树立职业生涯发展的自觉意识，树立积极正确的职业态度和就业观念，把个人发展和国家需要、社会发展相结合，确立职业的概念和意识，愿意为实现个人的生涯发展和社会发展做出努力的积极态度。了解职业的有关概念、职业生涯设计及其发展、求职就业、劳动合同等有关知识，了解职业道德以及职业道德行为养成，了解就业形势和政策法规，掌握基本的劳动力市场相关信息及就业创业的基本知识。具备进行生涯决策，搜集就业信息、求职面试，正确的处理与同事领导的关系，适应新环境，做个受欢迎的人的能力，提高学生的各种通用技能，比如沟通技能问题，自我管理技能和人际交往技能，对创业有正确的认识，具有初步创业能力。</w:t>
      </w:r>
    </w:p>
    <w:p>
      <w:pPr>
        <w:ind w:firstLine="480"/>
        <w:rPr>
          <w:rFonts w:asciiTheme="minorEastAsia" w:hAnsiTheme="minorEastAsia" w:eastAsiaTheme="minorEastAsia"/>
          <w:szCs w:val="24"/>
        </w:rPr>
      </w:pPr>
      <w:r>
        <w:rPr>
          <w:rFonts w:hint="eastAsia" w:asciiTheme="minorEastAsia" w:hAnsiTheme="minorEastAsia" w:eastAsiaTheme="minorEastAsia"/>
          <w:szCs w:val="24"/>
        </w:rPr>
        <w:t>10</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艺术</w:t>
      </w:r>
    </w:p>
    <w:p>
      <w:pPr>
        <w:ind w:firstLine="480"/>
        <w:rPr>
          <w:rFonts w:asciiTheme="minorEastAsia" w:hAnsiTheme="minorEastAsia" w:eastAsiaTheme="minorEastAsia"/>
          <w:szCs w:val="24"/>
        </w:rPr>
      </w:pPr>
      <w:r>
        <w:rPr>
          <w:rFonts w:hint="eastAsia" w:asciiTheme="minorEastAsia" w:hAnsiTheme="minorEastAsia" w:eastAsiaTheme="minorEastAsia"/>
          <w:szCs w:val="24"/>
        </w:rPr>
        <w:t>本课程是培养中职学生音乐、美术、舞蹈等艺术基本功，增强艺术感知能力，提升艺术素养及艺术鉴赏能力的一门课程。本课程立足初中最初的艺术感知能力，引导中等职业学校学生主动参与广泛的艺术学习和活动，了解和掌握不同艺术门类的基本知识、技能和原理，丰富审美体验，增强感性认识，提升艺术感知能力；关注艺术与社会生活、艺术与劳动生产、艺术与历史文化、艺术与其他课程和专业的有机联系，提高理性认识，发展艺术鉴赏能力；树立正确审美观，陶冶高尚的道德情操，培养深厚的民族情感，激发想象力和创新意识，促进学生全面发展和健康成长。</w:t>
      </w:r>
    </w:p>
    <w:p>
      <w:pPr>
        <w:ind w:firstLine="480"/>
        <w:rPr>
          <w:rFonts w:asciiTheme="minorEastAsia" w:hAnsiTheme="minorEastAsia" w:eastAsiaTheme="minorEastAsia"/>
          <w:szCs w:val="24"/>
        </w:rPr>
      </w:pPr>
      <w:r>
        <w:rPr>
          <w:rFonts w:hint="eastAsia" w:asciiTheme="minorEastAsia" w:hAnsiTheme="minorEastAsia" w:eastAsiaTheme="minorEastAsia"/>
          <w:szCs w:val="24"/>
        </w:rPr>
        <w:t xml:space="preserve">通过本课程的学习，使学生在艺术感知、审美鉴赏、创意表达和文化理解与传承等艺术核心素养方面获得发展，成为具有高尚道德情操和健康审美情趣的高素质技术技能人才。 </w:t>
      </w:r>
    </w:p>
    <w:p>
      <w:pPr>
        <w:ind w:firstLine="480"/>
        <w:rPr>
          <w:rFonts w:asciiTheme="minorEastAsia" w:hAnsiTheme="minorEastAsia" w:eastAsiaTheme="minorEastAsia"/>
          <w:szCs w:val="24"/>
        </w:rPr>
      </w:pPr>
      <w:r>
        <w:rPr>
          <w:rFonts w:hint="eastAsia" w:asciiTheme="minorEastAsia" w:hAnsiTheme="minorEastAsia" w:eastAsiaTheme="minorEastAsia"/>
          <w:szCs w:val="24"/>
        </w:rPr>
        <w:t>11</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劳动教育</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本课程，使学生能够正确理解和形成马克思主义劳动观，牢固树立劳动最光荣、劳动最崇高、劳动最伟大、劳动最美丽的劳动观念，促进学生体会劳动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人。</w:t>
      </w:r>
    </w:p>
    <w:p>
      <w:pPr>
        <w:ind w:firstLine="480"/>
        <w:rPr>
          <w:rFonts w:asciiTheme="minorEastAsia" w:hAnsiTheme="minorEastAsia" w:eastAsiaTheme="minorEastAsia"/>
          <w:szCs w:val="24"/>
        </w:rPr>
      </w:pPr>
      <w:r>
        <w:rPr>
          <w:rFonts w:hint="eastAsia" w:asciiTheme="minorEastAsia" w:hAnsiTheme="minorEastAsia" w:eastAsiaTheme="minorEastAsia"/>
          <w:szCs w:val="24"/>
        </w:rPr>
        <w:t>在教学过程中帮助学生树立马克思主义劳动观，铸造崇高个人品德，注意学生锻炼劳动技能，积累劳动经验，培养劳动习惯。</w:t>
      </w:r>
    </w:p>
    <w:p>
      <w:pPr>
        <w:ind w:firstLine="480"/>
        <w:rPr>
          <w:rFonts w:asciiTheme="minorEastAsia" w:hAnsiTheme="minorEastAsia" w:eastAsiaTheme="minorEastAsia"/>
          <w:szCs w:val="24"/>
        </w:rPr>
      </w:pPr>
      <w:r>
        <w:rPr>
          <w:rFonts w:hint="eastAsia" w:asciiTheme="minorEastAsia" w:hAnsiTheme="minorEastAsia" w:eastAsiaTheme="minorEastAsia"/>
          <w:szCs w:val="24"/>
        </w:rPr>
        <w:t>12</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国家安全教育</w:t>
      </w:r>
    </w:p>
    <w:p>
      <w:pPr>
        <w:ind w:firstLine="480"/>
        <w:rPr>
          <w:rFonts w:asciiTheme="minorEastAsia" w:hAnsiTheme="minorEastAsia" w:eastAsiaTheme="minorEastAsia"/>
          <w:szCs w:val="24"/>
        </w:rPr>
      </w:pPr>
      <w:r>
        <w:rPr>
          <w:rFonts w:hint="eastAsia" w:asciiTheme="minorEastAsia" w:hAnsiTheme="minorEastAsia" w:eastAsiaTheme="minorEastAsia"/>
          <w:szCs w:val="24"/>
        </w:rPr>
        <w:t>本课程落实宪法和国家安全法的精神，阐释总体国家安全观，明确坚持总体国家安全观是新时代坚持和发展中国特色社会主义的基本方略， 阐明我们党治国理政的一个重大原则是统筹发展和安全，增强忧患意识，做到居安思危。</w:t>
      </w:r>
    </w:p>
    <w:p>
      <w:pPr>
        <w:ind w:firstLine="480"/>
        <w:rPr>
          <w:rFonts w:asciiTheme="minorEastAsia" w:hAnsiTheme="minorEastAsia" w:eastAsiaTheme="minorEastAsia"/>
          <w:szCs w:val="24"/>
        </w:rPr>
      </w:pPr>
      <w:r>
        <w:rPr>
          <w:rFonts w:hint="eastAsia" w:asciiTheme="minorEastAsia" w:hAnsiTheme="minorEastAsia" w:eastAsiaTheme="minorEastAsia"/>
          <w:szCs w:val="24"/>
        </w:rPr>
        <w:t>在教学过程中，帮助学生掌握国家安全法律知识和基本常识，理解坚持总体国家安全观、走中国特色国家安全道路的重要意义及基本要求，懂得国家安全是头等大事；能够认清国家安全形势， 树立国家安全、人人有责的观念，增强危机忧患意识，强化爱国主义情感；能够遵守宪法、法律法规关于国家安全的规定，学会正确应对日常生活中突发安全事件的方法，履行维护国家安全的义务，不做有损国家安全的事，敢于同损害国家安全的行为作斗争，为维护国家安全做出应有的贡献。</w:t>
      </w:r>
    </w:p>
    <w:p>
      <w:pPr>
        <w:ind w:firstLine="480"/>
        <w:rPr>
          <w:rFonts w:asciiTheme="minorEastAsia" w:hAnsiTheme="minorEastAsia" w:eastAsiaTheme="minorEastAsia"/>
          <w:szCs w:val="24"/>
        </w:rPr>
      </w:pPr>
      <w:r>
        <w:rPr>
          <w:rFonts w:hint="eastAsia" w:asciiTheme="minorEastAsia" w:hAnsiTheme="minorEastAsia" w:eastAsiaTheme="minorEastAsia"/>
          <w:szCs w:val="24"/>
        </w:rPr>
        <w:t>13</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化学</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课程的学习，让学生在宏观辨识与微观探析、物质变化与平衡思想、现象观察与规律认知、实验探究与创新意识、科学态度与社会责任等化学核心素养方面获得持续发展，为学生学习专业知识、职业生涯发展和终身学习奠定基础。</w:t>
      </w:r>
    </w:p>
    <w:p>
      <w:pPr>
        <w:ind w:firstLine="480"/>
        <w:rPr>
          <w:rFonts w:asciiTheme="minorEastAsia" w:hAnsiTheme="minorEastAsia" w:eastAsiaTheme="minorEastAsia"/>
          <w:szCs w:val="24"/>
        </w:rPr>
      </w:pPr>
      <w:r>
        <w:rPr>
          <w:rFonts w:hint="eastAsia" w:asciiTheme="minorEastAsia" w:hAnsiTheme="minorEastAsia" w:eastAsiaTheme="minorEastAsia"/>
          <w:szCs w:val="24"/>
        </w:rPr>
        <w:t>本课程选取原子结构与化学键、化学反应及其规律、溶液与水溶液中的离子反应、常见无机物及其应用、简单有机化合物及其应用、生物大分子及合成高分子六个主题为基础模块，设置加工制造类（电化学基础与金属防护、化学与材料）拓展模块。在初中化学的基础上，使学生获得必备的化学基础知识、基本技能和基本方法，认识和了解自然现象和物质变化规律；科学地理解化学与人类生产、生活之间的关系，培养初步分析、解决与化学有关问题的能力；培养严谨求实的科学态度和精益求精的工匠精神。</w:t>
      </w:r>
    </w:p>
    <w:p>
      <w:pPr>
        <w:ind w:firstLine="480"/>
        <w:rPr>
          <w:rFonts w:asciiTheme="minorEastAsia" w:hAnsiTheme="minorEastAsia" w:eastAsiaTheme="minorEastAsia"/>
          <w:szCs w:val="24"/>
        </w:rPr>
      </w:pPr>
      <w:r>
        <w:rPr>
          <w:rFonts w:hint="eastAsia" w:asciiTheme="minorEastAsia" w:hAnsiTheme="minorEastAsia" w:eastAsiaTheme="minorEastAsia"/>
          <w:szCs w:val="24"/>
        </w:rPr>
        <w:t>14</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物理</w:t>
      </w:r>
    </w:p>
    <w:p>
      <w:pPr>
        <w:ind w:firstLine="480"/>
        <w:rPr>
          <w:rFonts w:asciiTheme="minorEastAsia" w:hAnsiTheme="minorEastAsia" w:eastAsiaTheme="minorEastAsia"/>
          <w:szCs w:val="24"/>
        </w:rPr>
      </w:pPr>
      <w:r>
        <w:rPr>
          <w:rFonts w:hint="eastAsia" w:asciiTheme="minorEastAsia" w:hAnsiTheme="minorEastAsia" w:eastAsiaTheme="minorEastAsia"/>
          <w:szCs w:val="24"/>
        </w:rPr>
        <w:t>本课程选取基础模块（运动和力、功和能、热现象及能量守恒、直流电及其应用、电与磁及其应用、光现象及其应用、核能及其应用）和拓展模块一的电子电工类专题（静电场的应用、磁场的应用、电磁波）。在初中物理的基础上，使学生获得必备物理基础知识、让学生从物理学的视角认识自然，认识物理学与生产、生活的关系，经历科学实践过程，掌握科学研究方法，养成科学思维习惯，培育科学精神，增强实践能力和科学创新意识；培养学生职业发展、终身学习和担当民族复兴大任所必需的物理学科核心素养，引领学生逐步形成科学精神及科学的世界观、人生观和价值观。</w:t>
      </w:r>
    </w:p>
    <w:p>
      <w:pPr>
        <w:ind w:firstLine="480"/>
        <w:rPr>
          <w:rFonts w:asciiTheme="minorEastAsia" w:hAnsiTheme="minorEastAsia" w:eastAsiaTheme="minorEastAsia"/>
          <w:szCs w:val="24"/>
        </w:rPr>
      </w:pPr>
    </w:p>
    <w:p>
      <w:pPr>
        <w:ind w:firstLine="482"/>
        <w:rPr>
          <w:rFonts w:asciiTheme="minorEastAsia" w:hAnsiTheme="minorEastAsia" w:eastAsiaTheme="minorEastAsia"/>
          <w:b/>
          <w:szCs w:val="24"/>
        </w:rPr>
      </w:pPr>
      <w:r>
        <w:rPr>
          <w:rFonts w:hint="eastAsia" w:asciiTheme="minorEastAsia" w:hAnsiTheme="minorEastAsia" w:eastAsiaTheme="minorEastAsia"/>
          <w:b/>
          <w:szCs w:val="24"/>
        </w:rPr>
        <w:t>（二）专业（技能）课程</w:t>
      </w:r>
    </w:p>
    <w:p>
      <w:pPr>
        <w:ind w:firstLine="480"/>
        <w:rPr>
          <w:rFonts w:asciiTheme="minorEastAsia" w:hAnsiTheme="minorEastAsia" w:eastAsiaTheme="minorEastAsia"/>
          <w:szCs w:val="24"/>
        </w:rPr>
      </w:pPr>
      <w:r>
        <w:rPr>
          <w:rFonts w:hint="eastAsia" w:asciiTheme="minorEastAsia" w:hAnsiTheme="minorEastAsia" w:eastAsiaTheme="minorEastAsia"/>
          <w:szCs w:val="24"/>
        </w:rPr>
        <w:t>15</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机械制图：2学分，34学时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本课程的学习，使学生掌握常用绘图工具和仪器的使用方法和使用技巧的能力；具有运用正投影法的基本原理解决空间几何问题的能力；具有识读和绘制机械图样的能力；具有查阅常用件、标准件及技术要求等国家标准的能力；具有严谨细致的工作作风，认真负责的工作态度以及一定的自学能力</w:t>
      </w:r>
      <w:r>
        <w:rPr>
          <w:rFonts w:asciiTheme="minorEastAsia" w:hAnsiTheme="minorEastAsia" w:eastAsiaTheme="minorEastAsia"/>
          <w:szCs w:val="24"/>
        </w:rPr>
        <w:t>;</w:t>
      </w:r>
      <w:r>
        <w:rPr>
          <w:rFonts w:hint="eastAsia" w:asciiTheme="minorEastAsia" w:hAnsiTheme="minorEastAsia" w:eastAsiaTheme="minorEastAsia"/>
          <w:szCs w:val="24"/>
        </w:rPr>
        <w:t>科学的思维方法和创新能力。</w:t>
      </w:r>
    </w:p>
    <w:p>
      <w:pPr>
        <w:ind w:firstLine="480"/>
        <w:rPr>
          <w:rFonts w:asciiTheme="minorEastAsia" w:hAnsiTheme="minorEastAsia" w:eastAsiaTheme="minorEastAsia"/>
          <w:szCs w:val="24"/>
        </w:rPr>
      </w:pPr>
      <w:r>
        <w:rPr>
          <w:rFonts w:hint="eastAsia" w:asciiTheme="minorEastAsia" w:hAnsiTheme="minorEastAsia" w:eastAsiaTheme="minorEastAsia"/>
          <w:szCs w:val="24"/>
        </w:rPr>
        <w:t>16</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机械基础：2学分，34学时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本课程的学习，使学生熟悉和掌握机械传动、常用机构及轴系零件的基本知识、工作原理和应用特点；掌握分析机械工作原理的基本方法；能作简单的有关计算；会查阅有关技术资料和选用标准件，为学习专业技术课程和今后在工作中合理使用、维护机械设备，以及进行技术革新提供必要的理论基础知识。</w:t>
      </w:r>
    </w:p>
    <w:p>
      <w:pPr>
        <w:ind w:firstLine="480"/>
        <w:rPr>
          <w:rFonts w:asciiTheme="minorEastAsia" w:hAnsiTheme="minorEastAsia" w:eastAsiaTheme="minorEastAsia"/>
          <w:szCs w:val="24"/>
        </w:rPr>
      </w:pPr>
      <w:r>
        <w:rPr>
          <w:rFonts w:hint="eastAsia" w:asciiTheme="minorEastAsia" w:hAnsiTheme="minorEastAsia" w:eastAsiaTheme="minorEastAsia"/>
          <w:szCs w:val="24"/>
        </w:rPr>
        <w:t>17</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电工基础：6学分，106学时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通过本课程的学习，使学生</w:t>
      </w:r>
      <w:r>
        <w:rPr>
          <w:rFonts w:hint="eastAsia"/>
        </w:rPr>
        <w:t>会观察、分析与解释电的基本现象，理解电路的基本概念、基本定律和定理，了解其在生产生活中的实际应用；具备分析和解决生产生活中一般电工问题的能力，具备学习后续电类专业技能课程的能力。掌握电工技术基础知识、基本概念、基本技能，为学生的电工技能课程证书考试奠定理论基础</w:t>
      </w:r>
      <w:r>
        <w:rPr>
          <w:rFonts w:hint="eastAsia" w:asciiTheme="minorEastAsia" w:hAnsiTheme="minorEastAsia" w:eastAsiaTheme="minorEastAsia"/>
          <w:szCs w:val="24"/>
        </w:rPr>
        <w:t>。</w:t>
      </w:r>
    </w:p>
    <w:p>
      <w:pPr>
        <w:ind w:firstLine="480"/>
        <w:rPr>
          <w:rFonts w:asciiTheme="minorEastAsia" w:hAnsiTheme="minorEastAsia" w:eastAsiaTheme="minorEastAsia"/>
          <w:szCs w:val="24"/>
        </w:rPr>
      </w:pPr>
      <w:r>
        <w:rPr>
          <w:rFonts w:hint="eastAsia" w:asciiTheme="minorEastAsia" w:hAnsiTheme="minorEastAsia" w:eastAsiaTheme="minorEastAsia"/>
          <w:szCs w:val="24"/>
        </w:rPr>
        <w:t>18</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电工技能与实训：6学分，102学时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本课程的学习，使学生能正确处理一般电气设备安全用电事故；会使用常用电工工具与仪器仪表；能识别与检测常用电工元件；能处理电工技术与实训中的简单故障；掌握电工技能实训的安全操作规范。具备电工基本操作的能力，照明与配电线路安装的能力，能养成良好的工作方法、工作作风和职业道德。</w:t>
      </w:r>
    </w:p>
    <w:p>
      <w:pPr>
        <w:ind w:firstLine="480"/>
        <w:rPr>
          <w:rFonts w:asciiTheme="minorEastAsia" w:hAnsiTheme="minorEastAsia" w:eastAsiaTheme="minorEastAsia"/>
          <w:szCs w:val="24"/>
        </w:rPr>
      </w:pPr>
      <w:r>
        <w:rPr>
          <w:rFonts w:hint="eastAsia" w:asciiTheme="minorEastAsia" w:hAnsiTheme="minorEastAsia" w:eastAsiaTheme="minorEastAsia"/>
          <w:szCs w:val="24"/>
        </w:rPr>
        <w:t>19</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电子技术基础：4学分，72学时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本课程的学习，使学生初步具备查阅电子元器件手册并合理选用元器件的能力；会使用常用电子仪器仪表；了解电子技术基本单元电路的组成、工作原理及典型应用；初步具备识读电路图、简单电路印制板和分析常见电子电路的能力；具备制作和调试常用电子电路及排除简单故障的能力；掌握电子技能实训，安全操作规范。通过参加电子实践活动，培养运用电子技术知识和工程应用方法解决生产生活中相关实际电子问题的能力；强化安全生产、节能环保和产品质量等职业意识，养成良好的工作方法、工作作风和职业道德。</w:t>
      </w:r>
    </w:p>
    <w:p>
      <w:pPr>
        <w:ind w:firstLine="480"/>
        <w:rPr>
          <w:rFonts w:asciiTheme="minorEastAsia" w:hAnsiTheme="minorEastAsia" w:eastAsiaTheme="minorEastAsia"/>
          <w:szCs w:val="24"/>
        </w:rPr>
      </w:pPr>
      <w:r>
        <w:rPr>
          <w:rFonts w:hint="eastAsia" w:asciiTheme="minorEastAsia" w:hAnsiTheme="minorEastAsia" w:eastAsiaTheme="minorEastAsia"/>
          <w:szCs w:val="24"/>
        </w:rPr>
        <w:t>20</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电力拖动：8学分，144学时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通过本课程的学习，使学生</w:t>
      </w:r>
      <w:r>
        <w:rPr>
          <w:rFonts w:hint="eastAsia"/>
        </w:rPr>
        <w:t>熟悉常用电气设备和元器件、电路的构成和工作原理及在实际生产中的典型应用；会使用电工电子仪器仪表和工具；能初步识读简单电路原理图和设备安装接线图；</w:t>
      </w:r>
      <w:r>
        <w:rPr>
          <w:rFonts w:hint="eastAsia" w:asciiTheme="minorEastAsia" w:hAnsiTheme="minorEastAsia" w:eastAsiaTheme="minorEastAsia"/>
          <w:szCs w:val="24"/>
        </w:rPr>
        <w:t>掌握交流电动机典型控制线路的构成、工作原理、分析方法及其安装、调试与维修，熟悉电动机的控制、保护及选用原则，</w:t>
      </w:r>
      <w:r>
        <w:rPr>
          <w:rFonts w:hint="eastAsia"/>
        </w:rPr>
        <w:t>为学生的电工技能课程证书考试奠定理论基础</w:t>
      </w:r>
      <w:r>
        <w:rPr>
          <w:rFonts w:hint="eastAsia" w:asciiTheme="minorEastAsia" w:hAnsiTheme="minorEastAsia" w:eastAsiaTheme="minorEastAsia"/>
          <w:szCs w:val="24"/>
        </w:rPr>
        <w:t>。</w:t>
      </w:r>
    </w:p>
    <w:p>
      <w:pPr>
        <w:ind w:firstLine="480"/>
        <w:rPr>
          <w:rFonts w:asciiTheme="minorEastAsia" w:hAnsiTheme="minorEastAsia" w:eastAsiaTheme="minorEastAsia"/>
          <w:szCs w:val="24"/>
        </w:rPr>
      </w:pPr>
      <w:r>
        <w:rPr>
          <w:rFonts w:hint="eastAsia" w:asciiTheme="minorEastAsia" w:hAnsiTheme="minorEastAsia" w:eastAsiaTheme="minorEastAsia"/>
          <w:szCs w:val="24"/>
        </w:rPr>
        <w:t>21</w:t>
      </w:r>
      <w:r>
        <w:rPr>
          <w:rFonts w:hint="eastAsia" w:asciiTheme="minorEastAsia" w:hAnsiTheme="minorEastAsia" w:eastAsiaTheme="minorEastAsia"/>
          <w:szCs w:val="24"/>
          <w:lang w:eastAsia="zh-CN"/>
        </w:rPr>
        <w:t>.</w:t>
      </w:r>
      <w:r>
        <w:rPr>
          <w:rFonts w:asciiTheme="minorEastAsia" w:hAnsiTheme="minorEastAsia" w:eastAsiaTheme="minorEastAsia"/>
          <w:szCs w:val="24"/>
        </w:rPr>
        <w:t>AutoCAD</w:t>
      </w:r>
      <w:r>
        <w:rPr>
          <w:rFonts w:hint="eastAsia" w:asciiTheme="minorEastAsia" w:hAnsiTheme="minorEastAsia" w:eastAsiaTheme="minorEastAsia"/>
          <w:szCs w:val="24"/>
        </w:rPr>
        <w:t>绘图：2学分，36学时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本课程的学习，掌握基本线、圆弧等操作，学会文字与表格、尺寸标注、图块使用，能进行零件图绘制、图形输出等。同时培养学生独立分析问题、解决问题的能力；拥有实事求是的学风和创新精神；具有培养良好的协作精神。</w:t>
      </w:r>
    </w:p>
    <w:p>
      <w:pPr>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可编程控制器原理与应用：4学分，72学时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通过本课程的学习，使学生掌握</w:t>
      </w:r>
      <w:r>
        <w:rPr>
          <w:rFonts w:asciiTheme="minorEastAsia" w:hAnsiTheme="minorEastAsia" w:eastAsiaTheme="minorEastAsia"/>
          <w:szCs w:val="24"/>
        </w:rPr>
        <w:t>PLC</w:t>
      </w:r>
      <w:r>
        <w:rPr>
          <w:rFonts w:hint="eastAsia" w:asciiTheme="minorEastAsia" w:hAnsiTheme="minorEastAsia" w:eastAsiaTheme="minorEastAsia"/>
          <w:szCs w:val="24"/>
        </w:rPr>
        <w:t>的基本工作原理、硬件结构、指令、梯形图编程的基本方法；能熟练使用</w:t>
      </w:r>
      <w:r>
        <w:rPr>
          <w:rFonts w:asciiTheme="minorEastAsia" w:hAnsiTheme="minorEastAsia" w:eastAsiaTheme="minorEastAsia"/>
          <w:szCs w:val="24"/>
        </w:rPr>
        <w:t>PLC</w:t>
      </w:r>
      <w:r>
        <w:rPr>
          <w:rFonts w:hint="eastAsia" w:asciiTheme="minorEastAsia" w:hAnsiTheme="minorEastAsia" w:eastAsiaTheme="minorEastAsia"/>
          <w:szCs w:val="24"/>
        </w:rPr>
        <w:t>的编程软件；熟练掌握典型</w:t>
      </w:r>
      <w:r>
        <w:rPr>
          <w:rFonts w:asciiTheme="minorEastAsia" w:hAnsiTheme="minorEastAsia" w:eastAsiaTheme="minorEastAsia"/>
          <w:szCs w:val="24"/>
        </w:rPr>
        <w:t>PLC</w:t>
      </w:r>
      <w:r>
        <w:rPr>
          <w:rFonts w:hint="eastAsia" w:asciiTheme="minorEastAsia" w:hAnsiTheme="minorEastAsia" w:eastAsiaTheme="minorEastAsia"/>
          <w:szCs w:val="24"/>
        </w:rPr>
        <w:t>的编程指令；初步具备分析实际</w:t>
      </w:r>
      <w:r>
        <w:rPr>
          <w:rFonts w:asciiTheme="minorEastAsia" w:hAnsiTheme="minorEastAsia" w:eastAsiaTheme="minorEastAsia"/>
          <w:szCs w:val="24"/>
        </w:rPr>
        <w:t>PLC</w:t>
      </w:r>
      <w:r>
        <w:rPr>
          <w:rFonts w:hint="eastAsia" w:asciiTheme="minorEastAsia" w:hAnsiTheme="minorEastAsia" w:eastAsiaTheme="minorEastAsia"/>
          <w:szCs w:val="24"/>
        </w:rPr>
        <w:t>控制系统的能力，能合作完成简单控制系统的设计、安装、编程和调试工作，为学生毕业后从事工业生产过程自动化打下良好的基础。</w:t>
      </w:r>
    </w:p>
    <w:p>
      <w:pPr>
        <w:ind w:firstLine="480"/>
        <w:rPr>
          <w:rFonts w:asciiTheme="minorEastAsia" w:hAnsiTheme="minorEastAsia" w:eastAsiaTheme="minorEastAsia"/>
          <w:szCs w:val="24"/>
        </w:rPr>
      </w:pPr>
      <w:r>
        <w:rPr>
          <w:rFonts w:hint="eastAsia" w:asciiTheme="minorEastAsia" w:hAnsiTheme="minorEastAsia" w:eastAsiaTheme="minorEastAsia"/>
          <w:szCs w:val="24"/>
        </w:rPr>
        <w:t>23</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电梯结构与原理：</w:t>
      </w:r>
      <w:r>
        <w:rPr>
          <w:rFonts w:asciiTheme="minorEastAsia" w:hAnsiTheme="minorEastAsia" w:eastAsiaTheme="minorEastAsia"/>
          <w:szCs w:val="24"/>
        </w:rPr>
        <w:t>4</w:t>
      </w:r>
      <w:r>
        <w:rPr>
          <w:rFonts w:hint="eastAsia" w:asciiTheme="minorEastAsia" w:hAnsiTheme="minorEastAsia" w:eastAsiaTheme="minorEastAsia"/>
          <w:szCs w:val="24"/>
        </w:rPr>
        <w:t>学分，</w:t>
      </w:r>
      <w:r>
        <w:rPr>
          <w:rFonts w:asciiTheme="minorEastAsia" w:hAnsiTheme="minorEastAsia" w:eastAsiaTheme="minorEastAsia"/>
          <w:szCs w:val="24"/>
        </w:rPr>
        <w:t>72</w:t>
      </w:r>
      <w:r>
        <w:rPr>
          <w:rFonts w:hint="eastAsia" w:asciiTheme="minorEastAsia" w:hAnsiTheme="minorEastAsia" w:eastAsiaTheme="minorEastAsia"/>
          <w:szCs w:val="24"/>
        </w:rPr>
        <w:t>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本课程的学习，熟悉电梯基础知识，掌握电梯的机构，掌握电梯八大系统的组成和功能。通过学习电梯系统的构成、特点、结构、原理等，培养学生的职业意识、安全意识，使其形成严谨、敬业的工作作风，使其形成良好的学习习惯，具备继续学习专业技术的能力；为今后解决生产实际问题和职业生涯的发展奠定基础。</w:t>
      </w:r>
    </w:p>
    <w:p>
      <w:pPr>
        <w:ind w:firstLine="480"/>
        <w:rPr>
          <w:rFonts w:asciiTheme="minorEastAsia" w:hAnsiTheme="minorEastAsia" w:eastAsiaTheme="minorEastAsia"/>
          <w:szCs w:val="24"/>
        </w:rPr>
      </w:pPr>
      <w:r>
        <w:rPr>
          <w:rFonts w:hint="eastAsia" w:asciiTheme="minorEastAsia" w:hAnsiTheme="minorEastAsia" w:eastAsiaTheme="minorEastAsia"/>
          <w:szCs w:val="24"/>
        </w:rPr>
        <w:t>24</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电梯电气控制原理：</w:t>
      </w:r>
      <w:r>
        <w:rPr>
          <w:rFonts w:asciiTheme="minorEastAsia" w:hAnsiTheme="minorEastAsia" w:eastAsiaTheme="minorEastAsia"/>
          <w:szCs w:val="24"/>
        </w:rPr>
        <w:t>6</w:t>
      </w:r>
      <w:r>
        <w:rPr>
          <w:rFonts w:hint="eastAsia" w:asciiTheme="minorEastAsia" w:hAnsiTheme="minorEastAsia" w:eastAsiaTheme="minorEastAsia"/>
          <w:szCs w:val="24"/>
        </w:rPr>
        <w:t>学分，</w:t>
      </w:r>
      <w:r>
        <w:rPr>
          <w:rFonts w:asciiTheme="minorEastAsia" w:hAnsiTheme="minorEastAsia" w:eastAsiaTheme="minorEastAsia"/>
          <w:szCs w:val="24"/>
        </w:rPr>
        <w:t>108</w:t>
      </w:r>
      <w:r>
        <w:rPr>
          <w:rFonts w:hint="eastAsia" w:asciiTheme="minorEastAsia" w:hAnsiTheme="minorEastAsia" w:eastAsiaTheme="minorEastAsia"/>
          <w:szCs w:val="24"/>
        </w:rPr>
        <w:t>学时</w:t>
      </w:r>
    </w:p>
    <w:p>
      <w:pPr>
        <w:ind w:firstLine="48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通过本课程的学习，主要了解介绍了电梯电气控制系统原理、组成、功能以及故障诊断方法，包括：电梯常用低压电器，一体机控制电路的组成及电路分析，一体机控制电梯常见故障的分析和排除，培养学生电梯电气故障分析和电气故障排除的基本操作技能。</w:t>
      </w:r>
    </w:p>
    <w:p>
      <w:pPr>
        <w:ind w:firstLine="480"/>
        <w:rPr>
          <w:rFonts w:asciiTheme="minorEastAsia" w:hAnsiTheme="minorEastAsia" w:eastAsiaTheme="minorEastAsia"/>
          <w:szCs w:val="24"/>
        </w:rPr>
      </w:pPr>
      <w:r>
        <w:rPr>
          <w:rFonts w:hint="eastAsia" w:asciiTheme="minorEastAsia" w:hAnsiTheme="minorEastAsia" w:eastAsiaTheme="minorEastAsia"/>
          <w:szCs w:val="24"/>
        </w:rPr>
        <w:t>25</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电梯维修保养：</w:t>
      </w:r>
      <w:r>
        <w:rPr>
          <w:rFonts w:asciiTheme="minorEastAsia" w:hAnsiTheme="minorEastAsia" w:eastAsiaTheme="minorEastAsia"/>
          <w:szCs w:val="24"/>
        </w:rPr>
        <w:t>8</w:t>
      </w:r>
      <w:r>
        <w:rPr>
          <w:rFonts w:hint="eastAsia" w:asciiTheme="minorEastAsia" w:hAnsiTheme="minorEastAsia" w:eastAsiaTheme="minorEastAsia"/>
          <w:szCs w:val="24"/>
        </w:rPr>
        <w:t>学分，144学时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这门课程的学习，了解电梯各部件的保养要求和保养方法；熟悉电梯保养的工具、材料的使用方法；熟悉电梯部件的更换条件和标准，掌握电梯部件的更换方法；熟悉电梯维修保养的质量标准；熟悉电梯维修保养工作中的安全操作规范</w:t>
      </w:r>
      <w:r>
        <w:rPr>
          <w:rFonts w:asciiTheme="minorEastAsia" w:hAnsiTheme="minorEastAsia" w:eastAsiaTheme="minorEastAsia"/>
          <w:szCs w:val="24"/>
        </w:rPr>
        <w:t xml:space="preserve">( </w:t>
      </w:r>
      <w:r>
        <w:rPr>
          <w:rFonts w:hint="eastAsia" w:asciiTheme="minorEastAsia" w:hAnsiTheme="minorEastAsia" w:eastAsiaTheme="minorEastAsia"/>
          <w:szCs w:val="24"/>
        </w:rPr>
        <w:t>应答制度</w:t>
      </w:r>
      <w:r>
        <w:rPr>
          <w:rFonts w:asciiTheme="minorEastAsia" w:hAnsiTheme="minorEastAsia" w:eastAsiaTheme="minorEastAsia"/>
          <w:szCs w:val="24"/>
        </w:rPr>
        <w:t>)</w:t>
      </w:r>
      <w:r>
        <w:rPr>
          <w:rFonts w:hint="eastAsia" w:asciiTheme="minorEastAsia" w:hAnsiTheme="minorEastAsia" w:eastAsiaTheme="minorEastAsia"/>
          <w:szCs w:val="24"/>
        </w:rPr>
        <w:t>。能按安全操作规范正确进行电梯乘客解困操作；能正确使用保养工具、材料，按安全操作规范对电梯各主要部件进行保养；能运用检测工具对电梯部件进行检测，根据部件的更换条件进行判断；能正确运用维修设备、工具，按安全操作规范对电梯的主要零部件进行更换。</w:t>
      </w:r>
    </w:p>
    <w:p>
      <w:pPr>
        <w:ind w:firstLine="480"/>
        <w:rPr>
          <w:rFonts w:asciiTheme="minorEastAsia" w:hAnsiTheme="minorEastAsia" w:eastAsiaTheme="minorEastAsia"/>
          <w:szCs w:val="24"/>
        </w:rPr>
      </w:pPr>
      <w:r>
        <w:rPr>
          <w:rFonts w:hint="eastAsia" w:asciiTheme="minorEastAsia" w:hAnsiTheme="minorEastAsia" w:eastAsiaTheme="minorEastAsia"/>
          <w:szCs w:val="24"/>
        </w:rPr>
        <w:t>26</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自动扶梯运行与维保：4学分，72学时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学习自动扶梯的结构与原理、自动扶梯的使用与管理、自动扶梯的故障维修、自动扶梯的维护保养等知识等，让学生掌握自动电梯的基本结构与原理、故障排除和扶梯的维护保养，在教学中对学生进行职业意识培养和职业道德教育，使其形成严谨、敬业的工作作风，具备获取、处理和表达技术信息，查阅国家标准，使用技术资料的能力；养成自主学习的习惯，提高适应职业变化的能力，为今后解决生产实际问题和职业生涯的发展奠定基础。</w:t>
      </w:r>
    </w:p>
    <w:p>
      <w:pPr>
        <w:ind w:firstLine="480"/>
        <w:rPr>
          <w:rFonts w:asciiTheme="minorEastAsia" w:hAnsiTheme="minorEastAsia" w:eastAsiaTheme="minorEastAsia"/>
          <w:szCs w:val="24"/>
        </w:rPr>
      </w:pPr>
      <w:r>
        <w:rPr>
          <w:rFonts w:hint="eastAsia" w:asciiTheme="minorEastAsia" w:hAnsiTheme="minorEastAsia" w:eastAsiaTheme="minorEastAsia"/>
          <w:szCs w:val="24"/>
        </w:rPr>
        <w:t>27</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电梯安装与调试：4学分，72学时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学习电梯施工前的准备、电梯机械安装、电梯电气安装、电梯调整运行和故障排除等内容，让学生掌握电梯的安装和调试方法，同时在教学中，对学生进行职业意识培养和职业道德教育，使其形成严谨、敬业的工作作风，具备获取、处理和表达技术信息，查阅国家标准，使用技术资料的能力；养成自主学习的习惯，提高适应职业变化的能力，为今后解决生产实际问题和职业生涯的发展奠定基础。</w:t>
      </w:r>
    </w:p>
    <w:p>
      <w:pPr>
        <w:ind w:firstLine="480"/>
        <w:rPr>
          <w:rFonts w:asciiTheme="minorEastAsia" w:hAnsiTheme="minorEastAsia" w:eastAsiaTheme="minorEastAsia"/>
          <w:szCs w:val="24"/>
        </w:rPr>
      </w:pPr>
      <w:r>
        <w:rPr>
          <w:rFonts w:hint="eastAsia" w:asciiTheme="minorEastAsia" w:hAnsiTheme="minorEastAsia" w:eastAsiaTheme="minorEastAsia"/>
          <w:szCs w:val="24"/>
        </w:rPr>
        <w:t>28</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变频器控制技术：</w:t>
      </w:r>
      <w:r>
        <w:rPr>
          <w:rFonts w:asciiTheme="minorEastAsia" w:hAnsiTheme="minorEastAsia" w:eastAsiaTheme="minorEastAsia"/>
          <w:szCs w:val="24"/>
        </w:rPr>
        <w:t>4</w:t>
      </w:r>
      <w:r>
        <w:rPr>
          <w:rFonts w:hint="eastAsia" w:asciiTheme="minorEastAsia" w:hAnsiTheme="minorEastAsia" w:eastAsiaTheme="minorEastAsia"/>
          <w:szCs w:val="24"/>
        </w:rPr>
        <w:t>学分，</w:t>
      </w:r>
      <w:r>
        <w:rPr>
          <w:rFonts w:asciiTheme="minorEastAsia" w:hAnsiTheme="minorEastAsia" w:eastAsiaTheme="minorEastAsia"/>
          <w:szCs w:val="24"/>
        </w:rPr>
        <w:t>72</w:t>
      </w:r>
      <w:r>
        <w:rPr>
          <w:rFonts w:hint="eastAsia" w:asciiTheme="minorEastAsia" w:hAnsiTheme="minorEastAsia" w:eastAsiaTheme="minorEastAsia"/>
          <w:szCs w:val="24"/>
        </w:rPr>
        <w:t>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本课程的学习，使学生掌握各种变频器基本结构与工作原理，重点掌握变频器的主要功能、参数设置方法，能够根据工程需要设计、安装、调试及改造简单的变频器控制系统；具有根据实际设备搜索、查阅变频器相关技术资料，并利用技术资料学习相应变频器知识和操作、解决现场问题的能力。具有认真的工作作风和严谨的工作态度，具有明确的岗位责任意识；具有科学的思维方法、创新精神、实践能力和继续学习新技术的能力。</w:t>
      </w:r>
    </w:p>
    <w:p>
      <w:pPr>
        <w:ind w:firstLine="480"/>
        <w:rPr>
          <w:rFonts w:asciiTheme="minorEastAsia" w:hAnsiTheme="minorEastAsia" w:eastAsiaTheme="minorEastAsia"/>
          <w:szCs w:val="24"/>
        </w:rPr>
      </w:pPr>
      <w:r>
        <w:rPr>
          <w:rFonts w:hint="eastAsia" w:asciiTheme="minorEastAsia" w:hAnsiTheme="minorEastAsia" w:eastAsiaTheme="minorEastAsia"/>
          <w:szCs w:val="24"/>
        </w:rPr>
        <w:t>29</w:t>
      </w:r>
      <w:r>
        <w:rPr>
          <w:rFonts w:hint="eastAsia" w:asciiTheme="minorEastAsia" w:hAnsiTheme="minorEastAsia" w:eastAsiaTheme="minorEastAsia"/>
          <w:szCs w:val="24"/>
          <w:lang w:eastAsia="zh-CN"/>
        </w:rPr>
        <w:t>.</w:t>
      </w:r>
      <w:r>
        <w:rPr>
          <w:rFonts w:asciiTheme="minorEastAsia" w:hAnsiTheme="minorEastAsia" w:eastAsiaTheme="minorEastAsia"/>
          <w:szCs w:val="24"/>
        </w:rPr>
        <w:t>PLC</w:t>
      </w:r>
      <w:r>
        <w:rPr>
          <w:rFonts w:hint="eastAsia" w:asciiTheme="minorEastAsia" w:hAnsiTheme="minorEastAsia" w:eastAsiaTheme="minorEastAsia"/>
          <w:szCs w:val="24"/>
        </w:rPr>
        <w:t>、变频器与触摸屏综合应用：4学分，72学时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通过本课程的学习，掌握变频器的功能参数设定和操作方法，具有将相关课程</w:t>
      </w:r>
      <w:r>
        <w:rPr>
          <w:rFonts w:asciiTheme="minorEastAsia" w:hAnsiTheme="minorEastAsia" w:eastAsiaTheme="minorEastAsia"/>
          <w:szCs w:val="24"/>
        </w:rPr>
        <w:t>(</w:t>
      </w:r>
      <w:r>
        <w:rPr>
          <w:rFonts w:hint="eastAsia" w:asciiTheme="minorEastAsia" w:hAnsiTheme="minorEastAsia" w:eastAsiaTheme="minorEastAsia"/>
          <w:szCs w:val="24"/>
        </w:rPr>
        <w:t>电气控制、</w:t>
      </w:r>
      <w:r>
        <w:rPr>
          <w:rFonts w:asciiTheme="minorEastAsia" w:hAnsiTheme="minorEastAsia" w:eastAsiaTheme="minorEastAsia"/>
          <w:szCs w:val="24"/>
        </w:rPr>
        <w:t>PLC</w:t>
      </w:r>
      <w:r>
        <w:rPr>
          <w:rFonts w:hint="eastAsia" w:asciiTheme="minorEastAsia" w:hAnsiTheme="minorEastAsia" w:eastAsiaTheme="minorEastAsia"/>
          <w:szCs w:val="24"/>
        </w:rPr>
        <w:t>、触摸屏等</w:t>
      </w:r>
      <w:r>
        <w:rPr>
          <w:rFonts w:asciiTheme="minorEastAsia" w:hAnsiTheme="minorEastAsia" w:eastAsiaTheme="minorEastAsia"/>
          <w:szCs w:val="24"/>
        </w:rPr>
        <w:t>)</w:t>
      </w:r>
      <w:r>
        <w:rPr>
          <w:rFonts w:hint="eastAsia" w:asciiTheme="minorEastAsia" w:hAnsiTheme="minorEastAsia" w:eastAsiaTheme="minorEastAsia"/>
          <w:szCs w:val="24"/>
        </w:rPr>
        <w:t>知识融合在一起，综合应用自动控制系统的能力；掌握如何制作</w:t>
      </w:r>
      <w:r>
        <w:rPr>
          <w:rFonts w:asciiTheme="minorEastAsia" w:hAnsiTheme="minorEastAsia" w:eastAsiaTheme="minorEastAsia"/>
          <w:szCs w:val="24"/>
        </w:rPr>
        <w:t>-</w:t>
      </w:r>
      <w:r>
        <w:rPr>
          <w:rFonts w:hint="eastAsia" w:asciiTheme="minorEastAsia" w:hAnsiTheme="minorEastAsia" w:eastAsiaTheme="minorEastAsia"/>
          <w:szCs w:val="24"/>
        </w:rPr>
        <w:t>一个最简单的工程</w:t>
      </w:r>
      <w:r>
        <w:rPr>
          <w:rFonts w:asciiTheme="minorEastAsia" w:hAnsiTheme="minorEastAsia" w:eastAsiaTheme="minorEastAsia"/>
          <w:szCs w:val="24"/>
        </w:rPr>
        <w:t>(</w:t>
      </w:r>
      <w:r>
        <w:rPr>
          <w:rFonts w:hint="eastAsia" w:asciiTheme="minorEastAsia" w:hAnsiTheme="minorEastAsia" w:eastAsiaTheme="minorEastAsia"/>
          <w:szCs w:val="24"/>
        </w:rPr>
        <w:t>创建新空白工程、创建开关元件</w:t>
      </w:r>
      <w:r>
        <w:rPr>
          <w:rFonts w:asciiTheme="minorEastAsia" w:hAnsiTheme="minorEastAsia" w:eastAsiaTheme="minorEastAsia"/>
          <w:szCs w:val="24"/>
        </w:rPr>
        <w:t>)</w:t>
      </w:r>
      <w:r>
        <w:rPr>
          <w:rFonts w:hint="eastAsia" w:asciiTheme="minorEastAsia" w:hAnsiTheme="minorEastAsia" w:eastAsiaTheme="minorEastAsia"/>
          <w:szCs w:val="24"/>
        </w:rPr>
        <w:t>；掌握触摸屏软件工作界面、元件库等窗口，掌握离线和在线模拟及下载功能；掌握触摸屏软件界面的元件设计、元件</w:t>
      </w:r>
      <w:r>
        <w:rPr>
          <w:rFonts w:asciiTheme="minorEastAsia" w:hAnsiTheme="minorEastAsia" w:eastAsiaTheme="minorEastAsia"/>
          <w:szCs w:val="24"/>
        </w:rPr>
        <w:t>ID</w:t>
      </w:r>
      <w:r>
        <w:rPr>
          <w:rFonts w:hint="eastAsia" w:asciiTheme="minorEastAsia" w:hAnsiTheme="minorEastAsia" w:eastAsiaTheme="minorEastAsia"/>
          <w:szCs w:val="24"/>
        </w:rPr>
        <w:t>、</w:t>
      </w:r>
      <w:r>
        <w:rPr>
          <w:rFonts w:asciiTheme="minorEastAsia" w:hAnsiTheme="minorEastAsia" w:eastAsiaTheme="minorEastAsia"/>
          <w:szCs w:val="24"/>
        </w:rPr>
        <w:t>PLC</w:t>
      </w:r>
      <w:r>
        <w:rPr>
          <w:rFonts w:hint="eastAsia" w:asciiTheme="minorEastAsia" w:hAnsiTheme="minorEastAsia" w:eastAsiaTheme="minorEastAsia"/>
          <w:szCs w:val="24"/>
        </w:rPr>
        <w:t>输入输出地址、向量图、位图的基本设计方法，掌握向量图、位图、标签和添加创建步骤。</w:t>
      </w:r>
    </w:p>
    <w:p>
      <w:pPr>
        <w:ind w:firstLine="480"/>
        <w:rPr>
          <w:rFonts w:asciiTheme="minorEastAsia" w:hAnsiTheme="minorEastAsia" w:eastAsiaTheme="minorEastAsia"/>
          <w:szCs w:val="24"/>
        </w:rPr>
      </w:pPr>
      <w:r>
        <w:rPr>
          <w:rFonts w:hint="eastAsia" w:asciiTheme="minorEastAsia" w:hAnsiTheme="minorEastAsia" w:eastAsiaTheme="minorEastAsia"/>
          <w:szCs w:val="24"/>
        </w:rPr>
        <w:t>30</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低压配电柜安装技术：3学分，54学时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本课程是电气专业的专业课。主要内容包括：电力系统基本知识；工厂电力负荷及短路电流计算；电力线路的结构及敷设；工厂变配电所的电气设备及一次、二次系统识图、电脑绘图;电气安全知识、电气设备的接地装置及工厂变配电所防雷保护；低压配电柜一次、二次电气元件和电路的正确安装及检测，满足相关国标生产工艺要求；正确使用电工工具，电气安全用具及测量仪器。</w:t>
      </w:r>
    </w:p>
    <w:p>
      <w:pPr>
        <w:ind w:firstLine="480"/>
        <w:rPr>
          <w:rFonts w:asciiTheme="minorEastAsia" w:hAnsiTheme="minorEastAsia" w:eastAsiaTheme="minorEastAsia"/>
          <w:szCs w:val="24"/>
        </w:rPr>
      </w:pPr>
      <w:r>
        <w:rPr>
          <w:rFonts w:hint="eastAsia" w:asciiTheme="minorEastAsia" w:hAnsiTheme="minorEastAsia" w:eastAsiaTheme="minorEastAsia"/>
          <w:szCs w:val="24"/>
        </w:rPr>
        <w:t>31</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电气</w:t>
      </w:r>
      <w:r>
        <w:rPr>
          <w:rFonts w:asciiTheme="minorEastAsia" w:hAnsiTheme="minorEastAsia" w:eastAsiaTheme="minorEastAsia"/>
          <w:szCs w:val="24"/>
        </w:rPr>
        <w:t>CAD</w:t>
      </w:r>
      <w:r>
        <w:rPr>
          <w:rFonts w:hint="eastAsia" w:asciiTheme="minorEastAsia" w:hAnsiTheme="minorEastAsia" w:eastAsiaTheme="minorEastAsia"/>
          <w:szCs w:val="24"/>
        </w:rPr>
        <w:t>基础：</w:t>
      </w:r>
      <w:r>
        <w:rPr>
          <w:rFonts w:asciiTheme="minorEastAsia" w:hAnsiTheme="minorEastAsia" w:eastAsiaTheme="minorEastAsia"/>
          <w:szCs w:val="24"/>
        </w:rPr>
        <w:t>2</w:t>
      </w:r>
      <w:r>
        <w:rPr>
          <w:rFonts w:hint="eastAsia" w:asciiTheme="minorEastAsia" w:hAnsiTheme="minorEastAsia" w:eastAsiaTheme="minorEastAsia"/>
          <w:szCs w:val="24"/>
        </w:rPr>
        <w:t>学分，</w:t>
      </w:r>
      <w:r>
        <w:rPr>
          <w:rFonts w:asciiTheme="minorEastAsia" w:hAnsiTheme="minorEastAsia" w:eastAsiaTheme="minorEastAsia"/>
          <w:szCs w:val="24"/>
        </w:rPr>
        <w:t>36</w:t>
      </w:r>
      <w:r>
        <w:rPr>
          <w:rFonts w:hint="eastAsia" w:asciiTheme="minorEastAsia" w:hAnsiTheme="minorEastAsia" w:eastAsiaTheme="minorEastAsia"/>
          <w:szCs w:val="24"/>
        </w:rPr>
        <w:t>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通过本课程的学习，使学生具备电气</w:t>
      </w:r>
      <w:r>
        <w:rPr>
          <w:rFonts w:asciiTheme="minorEastAsia" w:hAnsiTheme="minorEastAsia" w:eastAsiaTheme="minorEastAsia"/>
          <w:szCs w:val="24"/>
        </w:rPr>
        <w:t>CAD</w:t>
      </w:r>
      <w:r>
        <w:rPr>
          <w:rFonts w:hint="eastAsia" w:asciiTheme="minorEastAsia" w:hAnsiTheme="minorEastAsia" w:eastAsiaTheme="minorEastAsia"/>
          <w:szCs w:val="24"/>
        </w:rPr>
        <w:t>绘图的能力，为学习后续课程打好基础。能熟练操作</w:t>
      </w:r>
      <w:r>
        <w:rPr>
          <w:rFonts w:asciiTheme="minorEastAsia" w:hAnsiTheme="minorEastAsia" w:eastAsiaTheme="minorEastAsia"/>
          <w:szCs w:val="24"/>
        </w:rPr>
        <w:t xml:space="preserve">AutoCAD </w:t>
      </w:r>
      <w:r>
        <w:rPr>
          <w:rFonts w:hint="eastAsia" w:asciiTheme="minorEastAsia" w:hAnsiTheme="minorEastAsia" w:eastAsiaTheme="minorEastAsia"/>
          <w:szCs w:val="24"/>
        </w:rPr>
        <w:t>软件，能识读和绘制电气平面布置图，能识读和绘制变配电设备原理结构图及安装图；能正确识读二次设备原理结构图及安装图；能识读和绘制变电一次回路系统图；能识读和绘制变配电所电气二次回路原理、展开、安装图；能正确识读和绘制电气控制电路原理图、布置图、安装图。</w:t>
      </w:r>
    </w:p>
    <w:p>
      <w:pPr>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军训：3学分，56学时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firstLine="480"/>
        <w:rPr>
          <w:rFonts w:asciiTheme="minorEastAsia" w:hAnsiTheme="minorEastAsia" w:eastAsiaTheme="minorEastAsia"/>
          <w:szCs w:val="24"/>
        </w:rPr>
      </w:pPr>
      <w:r>
        <w:rPr>
          <w:rFonts w:hint="eastAsia" w:asciiTheme="minorEastAsia" w:hAnsiTheme="minorEastAsia" w:eastAsiaTheme="minorEastAsia"/>
          <w:szCs w:val="24"/>
        </w:rPr>
        <w:t>33</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岗位实习：30学分，</w:t>
      </w:r>
      <w:r>
        <w:rPr>
          <w:rFonts w:asciiTheme="minorEastAsia" w:hAnsiTheme="minorEastAsia" w:eastAsiaTheme="minorEastAsia"/>
          <w:szCs w:val="24"/>
        </w:rPr>
        <w:t>540</w:t>
      </w:r>
      <w:r>
        <w:rPr>
          <w:rFonts w:hint="eastAsia" w:asciiTheme="minorEastAsia" w:hAnsiTheme="minorEastAsia" w:eastAsiaTheme="minorEastAsia"/>
          <w:szCs w:val="24"/>
        </w:rPr>
        <w:t>学时</w:t>
      </w:r>
    </w:p>
    <w:p>
      <w:pPr>
        <w:ind w:firstLine="480"/>
        <w:rPr>
          <w:rFonts w:asciiTheme="minorEastAsia" w:hAnsiTheme="minorEastAsia" w:eastAsiaTheme="minorEastAsia"/>
          <w:szCs w:val="24"/>
        </w:rPr>
      </w:pPr>
      <w:r>
        <w:rPr>
          <w:rFonts w:hint="eastAsia" w:asciiTheme="minorEastAsia" w:hAnsiTheme="minorEastAsia" w:eastAsiaTheme="minorEastAsia"/>
          <w:szCs w:val="24"/>
        </w:rPr>
        <w:t>本专业主要是培养学生掌握电梯维修保养和电气安装维修的技能，要求学生要进行为期不少于一个学期的专业实习。让学生通过毕业实习，广泛地直接接触社会，了解社会的需要，加深对社会的认识，增强对社会的适应性，将自己融入到社会中去，培养社会实践能力，专业的动手能力，能够用所学知识和技能解决实际工作问题，打好就业坚实的基础和做好充分的准备。</w:t>
      </w:r>
    </w:p>
    <w:p>
      <w:pPr>
        <w:numPr>
          <w:ilvl w:val="0"/>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34.</w:t>
      </w:r>
      <w:r>
        <w:rPr>
          <w:rFonts w:hint="eastAsia" w:asciiTheme="minorEastAsia" w:hAnsiTheme="minorEastAsia" w:eastAsiaTheme="minorEastAsia"/>
          <w:szCs w:val="24"/>
        </w:rPr>
        <w:t>毕业教育：2学分，30学时</w:t>
      </w:r>
    </w:p>
    <w:p>
      <w:pPr>
        <w:ind w:firstLine="480"/>
        <w:rPr>
          <w:rFonts w:asciiTheme="minorEastAsia" w:hAnsiTheme="minorEastAsia" w:eastAsiaTheme="minorEastAsia"/>
          <w:szCs w:val="24"/>
        </w:rPr>
      </w:pPr>
      <w:r>
        <w:rPr>
          <w:rFonts w:hint="eastAsia" w:ascii="宋体" w:hAnsi="宋体" w:cs="Times New Roman"/>
          <w:szCs w:val="24"/>
        </w:rPr>
        <w:t>在毕业前进行的一次比较全面系统的思想教育，</w:t>
      </w:r>
      <w:r>
        <w:rPr>
          <w:rFonts w:ascii="宋体" w:hAnsi="宋体" w:cs="Times New Roman"/>
          <w:szCs w:val="24"/>
        </w:rPr>
        <w:t>进一步树立正确的人生观、价值观、择业观，培养良好的职业道德。全面介绍就业形势和就业政策，对毕业生进行择业指导</w:t>
      </w:r>
      <w:r>
        <w:rPr>
          <w:rFonts w:hint="eastAsia" w:ascii="宋体" w:hAnsi="宋体" w:cs="Times New Roman"/>
          <w:szCs w:val="24"/>
        </w:rPr>
        <w:t>，制作个人简历，了解</w:t>
      </w:r>
      <w:r>
        <w:rPr>
          <w:rFonts w:ascii="宋体" w:hAnsi="宋体" w:cs="Times New Roman"/>
          <w:szCs w:val="24"/>
        </w:rPr>
        <w:t>面试技巧</w:t>
      </w:r>
      <w:r>
        <w:rPr>
          <w:rFonts w:hint="eastAsia" w:ascii="宋体" w:hAnsi="宋体" w:cs="Times New Roman"/>
          <w:szCs w:val="24"/>
        </w:rPr>
        <w:t>，注意个人形象，言行举止得体，</w:t>
      </w:r>
      <w:r>
        <w:rPr>
          <w:rFonts w:ascii="宋体" w:hAnsi="宋体" w:cs="Times New Roman"/>
          <w:szCs w:val="24"/>
        </w:rPr>
        <w:t>修饰仪表仪容</w:t>
      </w:r>
      <w:r>
        <w:rPr>
          <w:rFonts w:hint="eastAsia" w:ascii="宋体" w:hAnsi="宋体" w:cs="Times New Roman"/>
          <w:szCs w:val="24"/>
        </w:rPr>
        <w:t>等。</w:t>
      </w:r>
    </w:p>
    <w:p>
      <w:pPr>
        <w:pStyle w:val="3"/>
        <w:ind w:firstLine="482"/>
        <w:rPr>
          <w:sz w:val="24"/>
          <w:szCs w:val="24"/>
        </w:rPr>
      </w:pPr>
      <w:r>
        <w:rPr>
          <w:rFonts w:hint="eastAsia"/>
          <w:sz w:val="24"/>
          <w:szCs w:val="24"/>
        </w:rPr>
        <w:t>七、教学进程总体安排（见附表）</w:t>
      </w:r>
    </w:p>
    <w:p>
      <w:pPr>
        <w:snapToGrid w:val="0"/>
        <w:spacing w:beforeLines="50" w:afterLines="50"/>
        <w:ind w:firstLine="236" w:firstLineChars="98"/>
        <w:rPr>
          <w:rFonts w:ascii="宋体" w:hAnsi="宋体"/>
          <w:b/>
          <w:bCs/>
          <w:kern w:val="0"/>
          <w:szCs w:val="24"/>
        </w:rPr>
      </w:pPr>
      <w:r>
        <w:rPr>
          <w:rFonts w:hint="eastAsia" w:ascii="宋体" w:hAnsi="宋体"/>
          <w:b/>
          <w:bCs/>
          <w:kern w:val="0"/>
          <w:szCs w:val="24"/>
        </w:rPr>
        <w:t>（一）教学活动周数分配表</w:t>
      </w:r>
    </w:p>
    <w:tbl>
      <w:tblPr>
        <w:tblStyle w:val="11"/>
        <w:tblW w:w="6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02"/>
        <w:gridCol w:w="703"/>
        <w:gridCol w:w="703"/>
        <w:gridCol w:w="703"/>
        <w:gridCol w:w="703"/>
        <w:gridCol w:w="703"/>
        <w:gridCol w:w="703"/>
        <w:gridCol w:w="703"/>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652" w:type="dxa"/>
          </w:tcPr>
          <w:p>
            <w:pPr>
              <w:snapToGrid w:val="0"/>
              <w:spacing w:line="240" w:lineRule="auto"/>
              <w:ind w:firstLine="0" w:firstLineChars="0"/>
              <w:jc w:val="center"/>
              <w:rPr>
                <w:rFonts w:ascii="仿宋" w:hAnsi="仿宋" w:eastAsia="仿宋" w:cs="Calibri"/>
                <w:b/>
                <w:bCs/>
                <w:kern w:val="0"/>
                <w:szCs w:val="24"/>
              </w:rPr>
            </w:pPr>
            <w:r>
              <w:pict>
                <v:shape id="直接箭头连接符 1" o:spid="_x0000_s1027" o:spt="32" type="#_x0000_t32" style="position:absolute;left:0pt;margin-left:-2.65pt;margin-top:3.15pt;height:123.1pt;width:29.2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">
                  <v:path arrowok="t"/>
                  <v:fill on="f" focussize="0,0"/>
                  <v:stroke/>
                  <v:imagedata o:title=""/>
                  <o:lock v:ext="edit"/>
                  <w10:anchorlock/>
                </v:shape>
              </w:pict>
            </w:r>
          </w:p>
          <w:p>
            <w:pPr>
              <w:snapToGrid w:val="0"/>
              <w:spacing w:line="240" w:lineRule="auto"/>
              <w:ind w:firstLine="0" w:firstLineChars="0"/>
              <w:jc w:val="center"/>
              <w:rPr>
                <w:rFonts w:ascii="仿宋" w:hAnsi="仿宋" w:eastAsia="仿宋" w:cs="Calibri"/>
                <w:b/>
                <w:bCs/>
                <w:kern w:val="0"/>
                <w:szCs w:val="24"/>
              </w:rPr>
            </w:pPr>
            <w:r>
              <w:rPr>
                <w:rFonts w:hint="eastAsia" w:ascii="仿宋" w:hAnsi="仿宋" w:eastAsia="仿宋" w:cs="仿宋"/>
                <w:b/>
                <w:bCs/>
                <w:kern w:val="0"/>
                <w:szCs w:val="24"/>
              </w:rPr>
              <w:t>内</w:t>
            </w:r>
          </w:p>
          <w:p>
            <w:pPr>
              <w:snapToGrid w:val="0"/>
              <w:spacing w:line="240" w:lineRule="auto"/>
              <w:ind w:firstLine="0" w:firstLineChars="0"/>
              <w:jc w:val="center"/>
              <w:rPr>
                <w:rFonts w:ascii="仿宋" w:hAnsi="仿宋" w:eastAsia="仿宋" w:cs="Calibri"/>
                <w:b/>
                <w:bCs/>
                <w:kern w:val="0"/>
                <w:szCs w:val="24"/>
              </w:rPr>
            </w:pPr>
            <w:r>
              <w:rPr>
                <w:rFonts w:hint="eastAsia" w:ascii="仿宋" w:hAnsi="仿宋" w:eastAsia="仿宋" w:cs="仿宋"/>
                <w:b/>
                <w:bCs/>
                <w:kern w:val="0"/>
                <w:szCs w:val="24"/>
              </w:rPr>
              <w:t>容</w:t>
            </w:r>
          </w:p>
          <w:p>
            <w:pPr>
              <w:snapToGrid w:val="0"/>
              <w:spacing w:line="240" w:lineRule="auto"/>
              <w:ind w:firstLine="0" w:firstLineChars="0"/>
              <w:rPr>
                <w:rFonts w:ascii="仿宋" w:hAnsi="仿宋" w:eastAsia="仿宋" w:cs="Calibri"/>
                <w:b/>
                <w:bCs/>
                <w:kern w:val="0"/>
                <w:szCs w:val="24"/>
              </w:rPr>
            </w:pPr>
          </w:p>
          <w:p>
            <w:pPr>
              <w:snapToGrid w:val="0"/>
              <w:spacing w:line="240" w:lineRule="auto"/>
              <w:ind w:firstLine="0" w:firstLineChars="0"/>
              <w:rPr>
                <w:rFonts w:ascii="仿宋" w:hAnsi="仿宋" w:eastAsia="仿宋" w:cs="Calibri"/>
                <w:b/>
                <w:bCs/>
                <w:kern w:val="0"/>
                <w:szCs w:val="24"/>
              </w:rPr>
            </w:pPr>
          </w:p>
          <w:p>
            <w:pPr>
              <w:snapToGrid w:val="0"/>
              <w:spacing w:line="240" w:lineRule="auto"/>
              <w:ind w:firstLine="0" w:firstLineChars="0"/>
              <w:rPr>
                <w:rFonts w:ascii="仿宋" w:hAnsi="仿宋" w:eastAsia="仿宋" w:cs="Calibri"/>
                <w:b/>
                <w:bCs/>
                <w:kern w:val="0"/>
                <w:szCs w:val="24"/>
              </w:rPr>
            </w:pPr>
          </w:p>
          <w:p>
            <w:pPr>
              <w:snapToGrid w:val="0"/>
              <w:spacing w:line="240" w:lineRule="auto"/>
              <w:ind w:firstLine="0" w:firstLineChars="0"/>
              <w:rPr>
                <w:rFonts w:ascii="仿宋" w:hAnsi="仿宋" w:eastAsia="仿宋" w:cs="Calibri"/>
                <w:b/>
                <w:bCs/>
                <w:kern w:val="0"/>
                <w:szCs w:val="24"/>
              </w:rPr>
            </w:pPr>
            <w:r>
              <w:rPr>
                <w:rFonts w:hint="eastAsia" w:ascii="仿宋" w:hAnsi="仿宋" w:eastAsia="仿宋" w:cs="仿宋"/>
                <w:b/>
                <w:bCs/>
                <w:kern w:val="0"/>
                <w:szCs w:val="24"/>
              </w:rPr>
              <w:t>学</w:t>
            </w:r>
          </w:p>
          <w:p>
            <w:pPr>
              <w:snapToGrid w:val="0"/>
              <w:spacing w:line="240" w:lineRule="auto"/>
              <w:ind w:firstLine="0" w:firstLineChars="0"/>
              <w:rPr>
                <w:rFonts w:ascii="仿宋" w:hAnsi="仿宋" w:eastAsia="仿宋" w:cs="Calibri"/>
                <w:b/>
                <w:bCs/>
                <w:kern w:val="0"/>
                <w:szCs w:val="24"/>
              </w:rPr>
            </w:pPr>
            <w:r>
              <w:rPr>
                <w:rFonts w:hint="eastAsia" w:ascii="仿宋" w:hAnsi="仿宋" w:eastAsia="仿宋" w:cs="仿宋"/>
                <w:b/>
                <w:bCs/>
                <w:kern w:val="0"/>
                <w:szCs w:val="24"/>
              </w:rPr>
              <w:t>期</w:t>
            </w:r>
          </w:p>
        </w:tc>
        <w:tc>
          <w:tcPr>
            <w:tcW w:w="702" w:type="dxa"/>
            <w:textDirection w:val="tbRlV"/>
            <w:vAlign w:val="center"/>
          </w:tcPr>
          <w:p>
            <w:pPr>
              <w:adjustRightInd w:val="0"/>
              <w:snapToGrid w:val="0"/>
              <w:spacing w:line="240" w:lineRule="auto"/>
              <w:ind w:left="130" w:leftChars="54" w:right="226" w:firstLine="360" w:firstLineChars="150"/>
              <w:rPr>
                <w:rFonts w:ascii="仿宋" w:hAnsi="仿宋" w:eastAsia="仿宋" w:cs="Calibri"/>
                <w:szCs w:val="24"/>
              </w:rPr>
            </w:pPr>
            <w:r>
              <w:rPr>
                <w:rFonts w:hint="eastAsia" w:ascii="仿宋" w:hAnsi="仿宋" w:eastAsia="仿宋" w:cs="仿宋"/>
                <w:szCs w:val="24"/>
              </w:rPr>
              <w:t>校内教学</w:t>
            </w:r>
          </w:p>
        </w:tc>
        <w:tc>
          <w:tcPr>
            <w:tcW w:w="703" w:type="dxa"/>
            <w:textDirection w:val="tbRlV"/>
            <w:vAlign w:val="center"/>
          </w:tcPr>
          <w:p>
            <w:pPr>
              <w:adjustRightInd w:val="0"/>
              <w:snapToGrid w:val="0"/>
              <w:spacing w:line="240" w:lineRule="auto"/>
              <w:ind w:left="130" w:leftChars="54" w:right="226" w:firstLine="0" w:firstLineChars="0"/>
              <w:jc w:val="center"/>
              <w:rPr>
                <w:rFonts w:ascii="仿宋" w:hAnsi="仿宋" w:eastAsia="仿宋" w:cs="Calibri"/>
                <w:szCs w:val="24"/>
              </w:rPr>
            </w:pPr>
            <w:r>
              <w:rPr>
                <w:rFonts w:hint="eastAsia" w:ascii="仿宋" w:hAnsi="仿宋" w:eastAsia="仿宋" w:cs="仿宋"/>
                <w:szCs w:val="24"/>
              </w:rPr>
              <w:t>入学教育及军训</w:t>
            </w:r>
          </w:p>
        </w:tc>
        <w:tc>
          <w:tcPr>
            <w:tcW w:w="703" w:type="dxa"/>
            <w:textDirection w:val="tbRlV"/>
            <w:vAlign w:val="center"/>
          </w:tcPr>
          <w:p>
            <w:pPr>
              <w:adjustRightInd w:val="0"/>
              <w:snapToGrid w:val="0"/>
              <w:spacing w:line="240" w:lineRule="auto"/>
              <w:ind w:left="130" w:leftChars="54" w:right="226" w:firstLine="360" w:firstLineChars="150"/>
              <w:rPr>
                <w:rFonts w:ascii="仿宋" w:hAnsi="仿宋" w:eastAsia="仿宋" w:cs="仿宋"/>
                <w:szCs w:val="24"/>
              </w:rPr>
            </w:pPr>
            <w:r>
              <w:rPr>
                <w:rFonts w:hint="eastAsia" w:ascii="仿宋" w:hAnsi="仿宋" w:eastAsia="仿宋" w:cs="仿宋"/>
                <w:szCs w:val="24"/>
              </w:rPr>
              <w:t>劳动周</w:t>
            </w:r>
          </w:p>
        </w:tc>
        <w:tc>
          <w:tcPr>
            <w:tcW w:w="703" w:type="dxa"/>
            <w:textDirection w:val="tbRlV"/>
            <w:vAlign w:val="center"/>
          </w:tcPr>
          <w:p>
            <w:pPr>
              <w:adjustRightInd w:val="0"/>
              <w:snapToGrid w:val="0"/>
              <w:spacing w:line="240" w:lineRule="auto"/>
              <w:ind w:left="130" w:leftChars="54" w:right="226" w:firstLine="360" w:firstLineChars="150"/>
              <w:rPr>
                <w:rFonts w:ascii="仿宋" w:hAnsi="仿宋" w:eastAsia="仿宋" w:cs="Calibri"/>
                <w:szCs w:val="24"/>
              </w:rPr>
            </w:pPr>
            <w:r>
              <w:rPr>
                <w:rFonts w:hint="eastAsia" w:ascii="仿宋" w:hAnsi="仿宋" w:eastAsia="仿宋" w:cs="仿宋"/>
                <w:szCs w:val="24"/>
              </w:rPr>
              <w:t>岗 位</w:t>
            </w:r>
            <w:r>
              <w:rPr>
                <w:rFonts w:ascii="仿宋" w:hAnsi="仿宋" w:eastAsia="仿宋" w:cs="仿宋"/>
                <w:szCs w:val="24"/>
              </w:rPr>
              <w:t xml:space="preserve"> </w:t>
            </w:r>
            <w:r>
              <w:rPr>
                <w:rFonts w:hint="eastAsia" w:ascii="仿宋" w:hAnsi="仿宋" w:eastAsia="仿宋" w:cs="仿宋"/>
                <w:szCs w:val="24"/>
              </w:rPr>
              <w:t>实</w:t>
            </w:r>
            <w:r>
              <w:rPr>
                <w:rFonts w:ascii="仿宋" w:hAnsi="仿宋" w:eastAsia="仿宋" w:cs="仿宋"/>
                <w:szCs w:val="24"/>
              </w:rPr>
              <w:t xml:space="preserve"> </w:t>
            </w:r>
            <w:r>
              <w:rPr>
                <w:rFonts w:hint="eastAsia" w:ascii="仿宋" w:hAnsi="仿宋" w:eastAsia="仿宋" w:cs="仿宋"/>
                <w:szCs w:val="24"/>
              </w:rPr>
              <w:t>习</w:t>
            </w:r>
          </w:p>
        </w:tc>
        <w:tc>
          <w:tcPr>
            <w:tcW w:w="703" w:type="dxa"/>
            <w:textDirection w:val="tbRlV"/>
            <w:vAlign w:val="center"/>
          </w:tcPr>
          <w:p>
            <w:pPr>
              <w:adjustRightInd w:val="0"/>
              <w:snapToGrid w:val="0"/>
              <w:spacing w:line="240" w:lineRule="auto"/>
              <w:ind w:left="130" w:leftChars="54" w:right="226" w:firstLine="360" w:firstLineChars="150"/>
              <w:rPr>
                <w:rFonts w:ascii="仿宋" w:hAnsi="仿宋" w:eastAsia="仿宋" w:cs="仿宋"/>
                <w:szCs w:val="24"/>
              </w:rPr>
            </w:pPr>
            <w:r>
              <w:rPr>
                <w:rFonts w:hint="eastAsia" w:ascii="仿宋" w:hAnsi="仿宋" w:eastAsia="仿宋" w:cs="仿宋"/>
                <w:szCs w:val="24"/>
              </w:rPr>
              <w:t>毕</w:t>
            </w:r>
            <w:r>
              <w:rPr>
                <w:rFonts w:ascii="仿宋" w:hAnsi="仿宋" w:eastAsia="仿宋" w:cs="仿宋"/>
                <w:szCs w:val="24"/>
              </w:rPr>
              <w:t xml:space="preserve"> </w:t>
            </w:r>
            <w:r>
              <w:rPr>
                <w:rFonts w:hint="eastAsia" w:ascii="仿宋" w:hAnsi="仿宋" w:eastAsia="仿宋" w:cs="仿宋"/>
                <w:szCs w:val="24"/>
              </w:rPr>
              <w:t>业</w:t>
            </w:r>
            <w:r>
              <w:rPr>
                <w:rFonts w:ascii="仿宋" w:hAnsi="仿宋" w:eastAsia="仿宋" w:cs="仿宋"/>
                <w:szCs w:val="24"/>
              </w:rPr>
              <w:t xml:space="preserve"> </w:t>
            </w:r>
            <w:r>
              <w:rPr>
                <w:rFonts w:hint="eastAsia" w:ascii="仿宋" w:hAnsi="仿宋" w:eastAsia="仿宋" w:cs="仿宋"/>
                <w:szCs w:val="24"/>
              </w:rPr>
              <w:t>教</w:t>
            </w:r>
            <w:r>
              <w:rPr>
                <w:rFonts w:ascii="仿宋" w:hAnsi="仿宋" w:eastAsia="仿宋" w:cs="仿宋"/>
                <w:szCs w:val="24"/>
              </w:rPr>
              <w:t xml:space="preserve"> </w:t>
            </w:r>
            <w:r>
              <w:rPr>
                <w:rFonts w:hint="eastAsia" w:ascii="仿宋" w:hAnsi="仿宋" w:eastAsia="仿宋" w:cs="仿宋"/>
                <w:szCs w:val="24"/>
              </w:rPr>
              <w:t>育</w:t>
            </w:r>
          </w:p>
        </w:tc>
        <w:tc>
          <w:tcPr>
            <w:tcW w:w="703" w:type="dxa"/>
            <w:textDirection w:val="tbRlV"/>
            <w:vAlign w:val="center"/>
          </w:tcPr>
          <w:p>
            <w:pPr>
              <w:adjustRightInd w:val="0"/>
              <w:snapToGrid w:val="0"/>
              <w:spacing w:line="240" w:lineRule="auto"/>
              <w:ind w:left="130" w:leftChars="54" w:right="226" w:firstLine="360" w:firstLineChars="150"/>
              <w:rPr>
                <w:rFonts w:ascii="仿宋" w:hAnsi="仿宋" w:eastAsia="仿宋" w:cs="Calibri"/>
                <w:szCs w:val="24"/>
              </w:rPr>
            </w:pPr>
            <w:r>
              <w:rPr>
                <w:rFonts w:hint="eastAsia" w:ascii="仿宋" w:hAnsi="仿宋" w:eastAsia="仿宋" w:cs="仿宋"/>
                <w:szCs w:val="24"/>
              </w:rPr>
              <w:t>考</w:t>
            </w:r>
            <w:r>
              <w:rPr>
                <w:rFonts w:ascii="仿宋" w:hAnsi="仿宋" w:eastAsia="仿宋" w:cs="仿宋"/>
                <w:szCs w:val="24"/>
              </w:rPr>
              <w:t xml:space="preserve">        </w:t>
            </w:r>
            <w:r>
              <w:rPr>
                <w:rFonts w:hint="eastAsia" w:ascii="仿宋" w:hAnsi="仿宋" w:eastAsia="仿宋" w:cs="仿宋"/>
                <w:szCs w:val="24"/>
              </w:rPr>
              <w:t>核</w:t>
            </w:r>
          </w:p>
        </w:tc>
        <w:tc>
          <w:tcPr>
            <w:tcW w:w="703" w:type="dxa"/>
            <w:textDirection w:val="tbRlV"/>
            <w:vAlign w:val="center"/>
          </w:tcPr>
          <w:p>
            <w:pPr>
              <w:adjustRightInd w:val="0"/>
              <w:snapToGrid w:val="0"/>
              <w:spacing w:line="240" w:lineRule="auto"/>
              <w:ind w:left="130" w:leftChars="54" w:right="226" w:firstLine="360" w:firstLineChars="150"/>
              <w:rPr>
                <w:rFonts w:ascii="仿宋" w:hAnsi="仿宋" w:eastAsia="仿宋" w:cs="Calibri"/>
                <w:szCs w:val="24"/>
              </w:rPr>
            </w:pPr>
            <w:r>
              <w:rPr>
                <w:rFonts w:hint="eastAsia" w:ascii="仿宋" w:hAnsi="仿宋" w:eastAsia="仿宋" w:cs="仿宋"/>
                <w:szCs w:val="24"/>
              </w:rPr>
              <w:t>机</w:t>
            </w:r>
            <w:r>
              <w:rPr>
                <w:rFonts w:ascii="仿宋" w:hAnsi="仿宋" w:eastAsia="仿宋" w:cs="仿宋"/>
                <w:szCs w:val="24"/>
              </w:rPr>
              <w:t xml:space="preserve">        </w:t>
            </w:r>
            <w:r>
              <w:rPr>
                <w:rFonts w:hint="eastAsia" w:ascii="仿宋" w:hAnsi="仿宋" w:eastAsia="仿宋" w:cs="仿宋"/>
                <w:szCs w:val="24"/>
              </w:rPr>
              <w:t>动</w:t>
            </w:r>
          </w:p>
        </w:tc>
        <w:tc>
          <w:tcPr>
            <w:tcW w:w="703" w:type="dxa"/>
            <w:textDirection w:val="tbRlV"/>
            <w:vAlign w:val="center"/>
          </w:tcPr>
          <w:p>
            <w:pPr>
              <w:adjustRightInd w:val="0"/>
              <w:snapToGrid w:val="0"/>
              <w:spacing w:line="240" w:lineRule="auto"/>
              <w:ind w:left="130" w:leftChars="54" w:right="226" w:firstLine="360" w:firstLineChars="150"/>
              <w:rPr>
                <w:rFonts w:ascii="仿宋" w:hAnsi="仿宋" w:eastAsia="仿宋" w:cs="Calibri"/>
                <w:szCs w:val="24"/>
              </w:rPr>
            </w:pPr>
            <w:r>
              <w:rPr>
                <w:rFonts w:hint="eastAsia" w:ascii="仿宋" w:hAnsi="仿宋" w:eastAsia="仿宋" w:cs="仿宋"/>
                <w:szCs w:val="24"/>
              </w:rPr>
              <w:t>寒</w:t>
            </w:r>
            <w:r>
              <w:rPr>
                <w:rFonts w:ascii="仿宋" w:hAnsi="仿宋" w:eastAsia="仿宋" w:cs="仿宋"/>
                <w:szCs w:val="24"/>
              </w:rPr>
              <w:t xml:space="preserve"> </w:t>
            </w:r>
            <w:r>
              <w:rPr>
                <w:rFonts w:hint="eastAsia" w:ascii="仿宋" w:hAnsi="仿宋" w:eastAsia="仿宋" w:cs="仿宋"/>
                <w:szCs w:val="24"/>
              </w:rPr>
              <w:t xml:space="preserve"> </w:t>
            </w:r>
            <w:r>
              <w:rPr>
                <w:rFonts w:ascii="仿宋" w:hAnsi="仿宋" w:eastAsia="仿宋" w:cs="仿宋"/>
                <w:szCs w:val="24"/>
              </w:rPr>
              <w:t xml:space="preserve"> </w:t>
            </w:r>
            <w:r>
              <w:rPr>
                <w:rFonts w:hint="eastAsia" w:ascii="仿宋" w:hAnsi="仿宋" w:eastAsia="仿宋" w:cs="仿宋"/>
                <w:szCs w:val="24"/>
              </w:rPr>
              <w:t>暑</w:t>
            </w:r>
            <w:r>
              <w:rPr>
                <w:rFonts w:ascii="仿宋" w:hAnsi="仿宋" w:eastAsia="仿宋" w:cs="仿宋"/>
                <w:szCs w:val="24"/>
              </w:rPr>
              <w:t xml:space="preserve">    </w:t>
            </w:r>
            <w:r>
              <w:rPr>
                <w:rFonts w:hint="eastAsia" w:ascii="仿宋" w:hAnsi="仿宋" w:eastAsia="仿宋" w:cs="仿宋"/>
                <w:szCs w:val="24"/>
              </w:rPr>
              <w:t>假</w:t>
            </w:r>
          </w:p>
        </w:tc>
        <w:tc>
          <w:tcPr>
            <w:tcW w:w="703" w:type="dxa"/>
            <w:textDirection w:val="tbRlV"/>
            <w:vAlign w:val="center"/>
          </w:tcPr>
          <w:p>
            <w:pPr>
              <w:adjustRightInd w:val="0"/>
              <w:snapToGrid w:val="0"/>
              <w:spacing w:line="240" w:lineRule="auto"/>
              <w:ind w:left="130" w:leftChars="54" w:right="226" w:firstLine="360" w:firstLineChars="150"/>
              <w:rPr>
                <w:rFonts w:ascii="仿宋" w:hAnsi="仿宋" w:eastAsia="仿宋" w:cs="Calibri"/>
                <w:szCs w:val="24"/>
              </w:rPr>
            </w:pPr>
            <w:r>
              <w:rPr>
                <w:rFonts w:hint="eastAsia" w:ascii="仿宋" w:hAnsi="仿宋" w:eastAsia="仿宋" w:cs="仿宋"/>
                <w:szCs w:val="24"/>
              </w:rPr>
              <w:t>合</w:t>
            </w:r>
            <w:r>
              <w:rPr>
                <w:rFonts w:ascii="仿宋" w:hAnsi="仿宋" w:eastAsia="仿宋" w:cs="仿宋"/>
                <w:szCs w:val="24"/>
              </w:rPr>
              <w:t xml:space="preserve">        </w:t>
            </w:r>
            <w:r>
              <w:rPr>
                <w:rFonts w:hint="eastAsia" w:ascii="仿宋" w:hAnsi="仿宋" w:eastAsia="仿宋" w:cs="仿宋"/>
                <w:szCs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652" w:type="dxa"/>
            <w:vAlign w:val="center"/>
          </w:tcPr>
          <w:p>
            <w:pPr>
              <w:snapToGrid w:val="0"/>
              <w:spacing w:line="240" w:lineRule="auto"/>
              <w:ind w:firstLine="0" w:firstLineChars="0"/>
              <w:jc w:val="center"/>
              <w:rPr>
                <w:rFonts w:ascii="Times New Roman" w:hAnsi="Times New Roman" w:cs="Calibri"/>
                <w:b/>
                <w:bCs/>
                <w:kern w:val="0"/>
                <w:sz w:val="21"/>
                <w:szCs w:val="21"/>
              </w:rPr>
            </w:pPr>
            <w:r>
              <w:rPr>
                <w:rFonts w:hint="eastAsia" w:ascii="Times New Roman" w:hAnsi="Times New Roman"/>
                <w:b/>
                <w:bCs/>
                <w:kern w:val="0"/>
                <w:sz w:val="21"/>
                <w:szCs w:val="21"/>
              </w:rPr>
              <w:t>一</w:t>
            </w:r>
          </w:p>
        </w:tc>
        <w:tc>
          <w:tcPr>
            <w:tcW w:w="702" w:type="dxa"/>
            <w:vAlign w:val="center"/>
          </w:tcPr>
          <w:p>
            <w:pPr>
              <w:adjustRightInd w:val="0"/>
              <w:snapToGrid w:val="0"/>
              <w:spacing w:line="240" w:lineRule="auto"/>
              <w:ind w:firstLine="0" w:firstLineChars="0"/>
              <w:jc w:val="center"/>
              <w:rPr>
                <w:rFonts w:ascii="宋体" w:hAnsi="Times New Roman" w:cs="Calibri"/>
                <w:b/>
                <w:bCs/>
                <w:sz w:val="18"/>
                <w:szCs w:val="18"/>
              </w:rPr>
            </w:pPr>
            <w:r>
              <w:rPr>
                <w:rFonts w:hint="eastAsia" w:ascii="宋体" w:hAnsi="Times New Roman" w:cs="Calibri"/>
                <w:b/>
                <w:bCs/>
                <w:sz w:val="18"/>
                <w:szCs w:val="18"/>
              </w:rPr>
              <w:t>17</w:t>
            </w:r>
          </w:p>
        </w:tc>
        <w:tc>
          <w:tcPr>
            <w:tcW w:w="703" w:type="dxa"/>
            <w:vAlign w:val="center"/>
          </w:tcPr>
          <w:p>
            <w:pPr>
              <w:adjustRightInd w:val="0"/>
              <w:snapToGrid w:val="0"/>
              <w:spacing w:line="240" w:lineRule="auto"/>
              <w:ind w:firstLine="0" w:firstLineChars="0"/>
              <w:jc w:val="center"/>
              <w:rPr>
                <w:rFonts w:ascii="宋体" w:hAnsi="Times New Roman" w:cs="Calibri"/>
                <w:b/>
                <w:bCs/>
                <w:sz w:val="18"/>
                <w:szCs w:val="18"/>
              </w:rPr>
            </w:pPr>
            <w:r>
              <w:rPr>
                <w:rFonts w:hint="eastAsia" w:ascii="宋体" w:hAnsi="Times New Roman" w:cs="Calibri"/>
                <w:b/>
                <w:bCs/>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p>
        </w:tc>
        <w:tc>
          <w:tcPr>
            <w:tcW w:w="703" w:type="dxa"/>
            <w:vAlign w:val="center"/>
          </w:tcPr>
          <w:p>
            <w:pPr>
              <w:adjustRightInd w:val="0"/>
              <w:snapToGrid w:val="0"/>
              <w:spacing w:line="240" w:lineRule="auto"/>
              <w:ind w:right="113"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 xml:space="preserve"> 1</w:t>
            </w:r>
          </w:p>
        </w:tc>
        <w:tc>
          <w:tcPr>
            <w:tcW w:w="703" w:type="dxa"/>
            <w:vAlign w:val="center"/>
          </w:tcPr>
          <w:p>
            <w:pPr>
              <w:adjustRightInd w:val="0"/>
              <w:snapToGrid w:val="0"/>
              <w:spacing w:line="240" w:lineRule="auto"/>
              <w:ind w:right="113"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 xml:space="preserve"> 1</w:t>
            </w:r>
          </w:p>
        </w:tc>
        <w:tc>
          <w:tcPr>
            <w:tcW w:w="703" w:type="dxa"/>
            <w:vAlign w:val="center"/>
          </w:tcPr>
          <w:p>
            <w:pPr>
              <w:adjustRightInd w:val="0"/>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4</w:t>
            </w:r>
          </w:p>
        </w:tc>
        <w:tc>
          <w:tcPr>
            <w:tcW w:w="703" w:type="dxa"/>
            <w:vAlign w:val="center"/>
          </w:tcPr>
          <w:p>
            <w:pPr>
              <w:snapToGrid w:val="0"/>
              <w:spacing w:line="240" w:lineRule="auto"/>
              <w:ind w:left="-118" w:leftChars="-49" w:right="-122" w:rightChars="-51" w:firstLine="0" w:firstLineChars="0"/>
              <w:jc w:val="center"/>
              <w:rPr>
                <w:rFonts w:ascii="宋体" w:hAnsi="宋体"/>
                <w:b/>
                <w:bCs/>
                <w:kern w:val="0"/>
                <w:sz w:val="18"/>
                <w:szCs w:val="18"/>
              </w:rPr>
            </w:pPr>
            <w:r>
              <w:rPr>
                <w:rFonts w:hint="eastAsia" w:ascii="宋体" w:hAnsi="宋体"/>
                <w:b/>
                <w:bCs/>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652" w:type="dxa"/>
            <w:vAlign w:val="center"/>
          </w:tcPr>
          <w:p>
            <w:pPr>
              <w:snapToGrid w:val="0"/>
              <w:spacing w:line="240" w:lineRule="auto"/>
              <w:ind w:firstLine="0" w:firstLineChars="0"/>
              <w:jc w:val="center"/>
              <w:rPr>
                <w:rFonts w:ascii="Times New Roman" w:hAnsi="Times New Roman" w:cs="Calibri"/>
                <w:b/>
                <w:bCs/>
                <w:kern w:val="0"/>
                <w:sz w:val="21"/>
                <w:szCs w:val="21"/>
              </w:rPr>
            </w:pPr>
            <w:r>
              <w:rPr>
                <w:rFonts w:hint="eastAsia" w:ascii="Times New Roman" w:hAnsi="Times New Roman"/>
                <w:b/>
                <w:bCs/>
                <w:kern w:val="0"/>
                <w:sz w:val="21"/>
                <w:szCs w:val="21"/>
              </w:rPr>
              <w:t>二</w:t>
            </w:r>
          </w:p>
        </w:tc>
        <w:tc>
          <w:tcPr>
            <w:tcW w:w="702" w:type="dxa"/>
            <w:vAlign w:val="center"/>
          </w:tcPr>
          <w:p>
            <w:pPr>
              <w:adjustRightInd w:val="0"/>
              <w:snapToGrid w:val="0"/>
              <w:spacing w:line="240" w:lineRule="auto"/>
              <w:ind w:firstLine="0" w:firstLineChars="0"/>
              <w:jc w:val="center"/>
              <w:rPr>
                <w:rFonts w:ascii="宋体" w:hAnsi="Times New Roman" w:cs="Calibri"/>
                <w:b/>
                <w:bCs/>
                <w:sz w:val="18"/>
                <w:szCs w:val="18"/>
              </w:rPr>
            </w:pPr>
            <w:r>
              <w:rPr>
                <w:rFonts w:hint="eastAsia" w:ascii="宋体" w:hAnsi="Times New Roman" w:cs="Calibri"/>
                <w:b/>
                <w:bCs/>
                <w:sz w:val="18"/>
                <w:szCs w:val="18"/>
              </w:rPr>
              <w:t>17</w:t>
            </w:r>
          </w:p>
        </w:tc>
        <w:tc>
          <w:tcPr>
            <w:tcW w:w="703" w:type="dxa"/>
            <w:vAlign w:val="center"/>
          </w:tcPr>
          <w:p>
            <w:pPr>
              <w:adjustRightInd w:val="0"/>
              <w:snapToGrid w:val="0"/>
              <w:spacing w:line="240" w:lineRule="auto"/>
              <w:ind w:firstLine="0" w:firstLineChars="0"/>
              <w:jc w:val="center"/>
              <w:rPr>
                <w:rFonts w:ascii="宋体" w:hAnsi="Times New Roman" w:cs="Calibri"/>
                <w:b/>
                <w:bCs/>
                <w:sz w:val="18"/>
                <w:szCs w:val="18"/>
              </w:rPr>
            </w:pPr>
          </w:p>
        </w:tc>
        <w:tc>
          <w:tcPr>
            <w:tcW w:w="703" w:type="dxa"/>
            <w:vAlign w:val="center"/>
          </w:tcPr>
          <w:p>
            <w:pPr>
              <w:adjustRightInd w:val="0"/>
              <w:snapToGrid w:val="0"/>
              <w:spacing w:line="240" w:lineRule="auto"/>
              <w:ind w:firstLine="0" w:firstLineChars="0"/>
              <w:jc w:val="center"/>
              <w:rPr>
                <w:rFonts w:ascii="宋体" w:hAnsi="Times New Roman" w:cs="Calibri"/>
                <w:b/>
                <w:bCs/>
                <w:sz w:val="18"/>
                <w:szCs w:val="18"/>
              </w:rPr>
            </w:pPr>
            <w:r>
              <w:rPr>
                <w:rFonts w:hint="eastAsia" w:ascii="宋体" w:hAnsi="Times New Roman" w:cs="Calibri"/>
                <w:b/>
                <w:bCs/>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8</w:t>
            </w:r>
          </w:p>
        </w:tc>
        <w:tc>
          <w:tcPr>
            <w:tcW w:w="703" w:type="dxa"/>
            <w:vAlign w:val="center"/>
          </w:tcPr>
          <w:p>
            <w:pPr>
              <w:snapToGrid w:val="0"/>
              <w:spacing w:line="240" w:lineRule="auto"/>
              <w:ind w:left="-118" w:leftChars="-49" w:right="-122" w:rightChars="-51"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652" w:type="dxa"/>
            <w:vAlign w:val="center"/>
          </w:tcPr>
          <w:p>
            <w:pPr>
              <w:snapToGrid w:val="0"/>
              <w:spacing w:line="240" w:lineRule="auto"/>
              <w:ind w:firstLine="0" w:firstLineChars="0"/>
              <w:jc w:val="center"/>
              <w:rPr>
                <w:rFonts w:ascii="Times New Roman" w:hAnsi="Times New Roman" w:cs="Calibri"/>
                <w:b/>
                <w:bCs/>
                <w:kern w:val="0"/>
                <w:sz w:val="21"/>
                <w:szCs w:val="21"/>
              </w:rPr>
            </w:pPr>
            <w:r>
              <w:rPr>
                <w:rFonts w:hint="eastAsia" w:ascii="Times New Roman" w:hAnsi="Times New Roman"/>
                <w:b/>
                <w:bCs/>
                <w:kern w:val="0"/>
                <w:sz w:val="21"/>
                <w:szCs w:val="21"/>
              </w:rPr>
              <w:t>三</w:t>
            </w:r>
          </w:p>
        </w:tc>
        <w:tc>
          <w:tcPr>
            <w:tcW w:w="702" w:type="dxa"/>
            <w:vAlign w:val="center"/>
          </w:tcPr>
          <w:p>
            <w:pPr>
              <w:adjustRightInd w:val="0"/>
              <w:snapToGrid w:val="0"/>
              <w:spacing w:line="240" w:lineRule="auto"/>
              <w:ind w:firstLine="0" w:firstLineChars="0"/>
              <w:jc w:val="center"/>
              <w:rPr>
                <w:rFonts w:ascii="宋体" w:hAnsi="Times New Roman" w:cs="Calibri"/>
                <w:b/>
                <w:bCs/>
                <w:sz w:val="18"/>
                <w:szCs w:val="18"/>
              </w:rPr>
            </w:pPr>
            <w:r>
              <w:rPr>
                <w:rFonts w:hint="eastAsia" w:ascii="宋体" w:hAnsi="Times New Roman" w:cs="Calibri"/>
                <w:b/>
                <w:bCs/>
                <w:sz w:val="18"/>
                <w:szCs w:val="18"/>
              </w:rPr>
              <w:t>17</w:t>
            </w:r>
          </w:p>
        </w:tc>
        <w:tc>
          <w:tcPr>
            <w:tcW w:w="703" w:type="dxa"/>
            <w:vAlign w:val="center"/>
          </w:tcPr>
          <w:p>
            <w:pPr>
              <w:adjustRightInd w:val="0"/>
              <w:snapToGrid w:val="0"/>
              <w:spacing w:line="240" w:lineRule="auto"/>
              <w:ind w:firstLine="0" w:firstLineChars="0"/>
              <w:jc w:val="center"/>
              <w:rPr>
                <w:rFonts w:ascii="宋体" w:hAnsi="Times New Roman" w:cs="Calibri"/>
                <w:b/>
                <w:bCs/>
                <w:sz w:val="18"/>
                <w:szCs w:val="18"/>
              </w:rPr>
            </w:pPr>
          </w:p>
        </w:tc>
        <w:tc>
          <w:tcPr>
            <w:tcW w:w="703" w:type="dxa"/>
            <w:vAlign w:val="center"/>
          </w:tcPr>
          <w:p>
            <w:pPr>
              <w:adjustRightInd w:val="0"/>
              <w:snapToGrid w:val="0"/>
              <w:spacing w:line="240" w:lineRule="auto"/>
              <w:ind w:firstLine="0" w:firstLineChars="0"/>
              <w:jc w:val="center"/>
              <w:rPr>
                <w:rFonts w:ascii="宋体" w:hAnsi="Times New Roman" w:cs="Calibri"/>
                <w:b/>
                <w:bCs/>
                <w:sz w:val="18"/>
                <w:szCs w:val="18"/>
              </w:rPr>
            </w:pPr>
            <w:r>
              <w:rPr>
                <w:rFonts w:hint="eastAsia" w:ascii="宋体" w:hAnsi="Times New Roman" w:cs="Calibri"/>
                <w:b/>
                <w:bCs/>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4</w:t>
            </w:r>
          </w:p>
        </w:tc>
        <w:tc>
          <w:tcPr>
            <w:tcW w:w="703" w:type="dxa"/>
            <w:vAlign w:val="center"/>
          </w:tcPr>
          <w:p>
            <w:pPr>
              <w:snapToGrid w:val="0"/>
              <w:spacing w:line="240" w:lineRule="auto"/>
              <w:ind w:left="-118" w:leftChars="-49" w:right="-122" w:rightChars="-51"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652" w:type="dxa"/>
            <w:vAlign w:val="center"/>
          </w:tcPr>
          <w:p>
            <w:pPr>
              <w:snapToGrid w:val="0"/>
              <w:spacing w:line="240" w:lineRule="auto"/>
              <w:ind w:firstLine="0" w:firstLineChars="0"/>
              <w:jc w:val="center"/>
              <w:rPr>
                <w:rFonts w:ascii="Times New Roman" w:hAnsi="Times New Roman" w:cs="Calibri"/>
                <w:b/>
                <w:bCs/>
                <w:kern w:val="0"/>
                <w:sz w:val="21"/>
                <w:szCs w:val="21"/>
              </w:rPr>
            </w:pPr>
            <w:r>
              <w:rPr>
                <w:rFonts w:hint="eastAsia" w:ascii="Times New Roman" w:hAnsi="Times New Roman"/>
                <w:b/>
                <w:bCs/>
                <w:kern w:val="0"/>
                <w:sz w:val="21"/>
                <w:szCs w:val="21"/>
              </w:rPr>
              <w:t>四</w:t>
            </w:r>
          </w:p>
        </w:tc>
        <w:tc>
          <w:tcPr>
            <w:tcW w:w="702" w:type="dxa"/>
            <w:vAlign w:val="center"/>
          </w:tcPr>
          <w:p>
            <w:pPr>
              <w:adjustRightInd w:val="0"/>
              <w:snapToGrid w:val="0"/>
              <w:spacing w:line="240" w:lineRule="auto"/>
              <w:ind w:firstLine="0" w:firstLineChars="0"/>
              <w:jc w:val="center"/>
              <w:rPr>
                <w:rFonts w:ascii="宋体" w:hAnsi="Times New Roman" w:cs="Calibri"/>
                <w:b/>
                <w:bCs/>
                <w:sz w:val="18"/>
                <w:szCs w:val="18"/>
              </w:rPr>
            </w:pPr>
            <w:r>
              <w:rPr>
                <w:rFonts w:hint="eastAsia" w:ascii="宋体" w:hAnsi="Times New Roman" w:cs="Calibri"/>
                <w:b/>
                <w:bCs/>
                <w:sz w:val="18"/>
                <w:szCs w:val="18"/>
              </w:rPr>
              <w:t>18</w:t>
            </w:r>
          </w:p>
        </w:tc>
        <w:tc>
          <w:tcPr>
            <w:tcW w:w="703" w:type="dxa"/>
            <w:vAlign w:val="center"/>
          </w:tcPr>
          <w:p>
            <w:pPr>
              <w:adjustRightInd w:val="0"/>
              <w:snapToGrid w:val="0"/>
              <w:spacing w:line="240" w:lineRule="auto"/>
              <w:ind w:firstLine="0" w:firstLineChars="0"/>
              <w:jc w:val="center"/>
              <w:rPr>
                <w:rFonts w:ascii="宋体" w:hAnsi="Times New Roman" w:cs="Calibri"/>
                <w:b/>
                <w:bCs/>
                <w:sz w:val="18"/>
                <w:szCs w:val="18"/>
              </w:rPr>
            </w:pPr>
          </w:p>
        </w:tc>
        <w:tc>
          <w:tcPr>
            <w:tcW w:w="703" w:type="dxa"/>
            <w:vAlign w:val="center"/>
          </w:tcPr>
          <w:p>
            <w:pPr>
              <w:adjustRightInd w:val="0"/>
              <w:snapToGrid w:val="0"/>
              <w:spacing w:line="240" w:lineRule="auto"/>
              <w:ind w:firstLine="0" w:firstLineChars="0"/>
              <w:jc w:val="center"/>
              <w:rPr>
                <w:rFonts w:ascii="宋体" w:hAnsi="Times New Roman" w:cs="Calibri"/>
                <w:b/>
                <w:bCs/>
                <w:sz w:val="18"/>
                <w:szCs w:val="18"/>
              </w:rPr>
            </w:pP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8</w:t>
            </w:r>
          </w:p>
        </w:tc>
        <w:tc>
          <w:tcPr>
            <w:tcW w:w="703" w:type="dxa"/>
            <w:vAlign w:val="center"/>
          </w:tcPr>
          <w:p>
            <w:pPr>
              <w:snapToGrid w:val="0"/>
              <w:spacing w:line="240" w:lineRule="auto"/>
              <w:ind w:left="-84" w:leftChars="-35" w:right="-84" w:rightChars="-35"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652" w:type="dxa"/>
            <w:vAlign w:val="center"/>
          </w:tcPr>
          <w:p>
            <w:pPr>
              <w:snapToGrid w:val="0"/>
              <w:spacing w:line="240" w:lineRule="auto"/>
              <w:ind w:firstLine="0" w:firstLineChars="0"/>
              <w:jc w:val="center"/>
              <w:rPr>
                <w:rFonts w:ascii="Times New Roman" w:hAnsi="Times New Roman" w:cs="Calibri"/>
                <w:b/>
                <w:bCs/>
                <w:kern w:val="0"/>
                <w:sz w:val="21"/>
                <w:szCs w:val="21"/>
              </w:rPr>
            </w:pPr>
            <w:r>
              <w:rPr>
                <w:rFonts w:hint="eastAsia" w:ascii="Times New Roman" w:hAnsi="Times New Roman"/>
                <w:b/>
                <w:bCs/>
                <w:kern w:val="0"/>
                <w:sz w:val="21"/>
                <w:szCs w:val="21"/>
              </w:rPr>
              <w:t>五</w:t>
            </w:r>
          </w:p>
        </w:tc>
        <w:tc>
          <w:tcPr>
            <w:tcW w:w="702" w:type="dxa"/>
            <w:vAlign w:val="center"/>
          </w:tcPr>
          <w:p>
            <w:pPr>
              <w:adjustRightInd w:val="0"/>
              <w:snapToGrid w:val="0"/>
              <w:spacing w:line="240" w:lineRule="auto"/>
              <w:ind w:firstLine="0" w:firstLineChars="0"/>
              <w:jc w:val="center"/>
              <w:rPr>
                <w:rFonts w:ascii="宋体" w:hAnsi="Times New Roman" w:cs="Calibri"/>
                <w:b/>
                <w:bCs/>
                <w:sz w:val="18"/>
                <w:szCs w:val="18"/>
              </w:rPr>
            </w:pPr>
            <w:r>
              <w:rPr>
                <w:rFonts w:hint="eastAsia" w:ascii="宋体" w:hAnsi="Times New Roman" w:cs="Calibri"/>
                <w:b/>
                <w:bCs/>
                <w:sz w:val="18"/>
                <w:szCs w:val="18"/>
              </w:rPr>
              <w:t>17</w:t>
            </w:r>
          </w:p>
        </w:tc>
        <w:tc>
          <w:tcPr>
            <w:tcW w:w="703" w:type="dxa"/>
            <w:vAlign w:val="center"/>
          </w:tcPr>
          <w:p>
            <w:pPr>
              <w:adjustRightInd w:val="0"/>
              <w:snapToGrid w:val="0"/>
              <w:spacing w:line="240" w:lineRule="auto"/>
              <w:ind w:firstLine="0" w:firstLineChars="0"/>
              <w:jc w:val="center"/>
              <w:rPr>
                <w:rFonts w:ascii="宋体" w:hAnsi="Times New Roman" w:cs="Calibri"/>
                <w:b/>
                <w:bCs/>
                <w:sz w:val="18"/>
                <w:szCs w:val="18"/>
              </w:rPr>
            </w:pPr>
          </w:p>
        </w:tc>
        <w:tc>
          <w:tcPr>
            <w:tcW w:w="703" w:type="dxa"/>
            <w:vAlign w:val="center"/>
          </w:tcPr>
          <w:p>
            <w:pPr>
              <w:adjustRightInd w:val="0"/>
              <w:snapToGrid w:val="0"/>
              <w:spacing w:line="240" w:lineRule="auto"/>
              <w:ind w:firstLine="0" w:firstLineChars="0"/>
              <w:jc w:val="center"/>
              <w:rPr>
                <w:rFonts w:ascii="宋体" w:hAnsi="Times New Roman" w:cs="Calibri"/>
                <w:b/>
                <w:bCs/>
                <w:sz w:val="18"/>
                <w:szCs w:val="18"/>
              </w:rPr>
            </w:pPr>
            <w:r>
              <w:rPr>
                <w:rFonts w:hint="eastAsia" w:ascii="宋体" w:hAnsi="Times New Roman" w:cs="Calibri"/>
                <w:b/>
                <w:bCs/>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4</w:t>
            </w:r>
          </w:p>
        </w:tc>
        <w:tc>
          <w:tcPr>
            <w:tcW w:w="703" w:type="dxa"/>
            <w:vAlign w:val="center"/>
          </w:tcPr>
          <w:p>
            <w:pPr>
              <w:snapToGrid w:val="0"/>
              <w:spacing w:line="240" w:lineRule="auto"/>
              <w:ind w:left="-84" w:leftChars="-35" w:right="-84" w:rightChars="-35"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52" w:type="dxa"/>
            <w:vAlign w:val="center"/>
          </w:tcPr>
          <w:p>
            <w:pPr>
              <w:snapToGrid w:val="0"/>
              <w:spacing w:line="240" w:lineRule="auto"/>
              <w:ind w:firstLine="0" w:firstLineChars="0"/>
              <w:jc w:val="center"/>
              <w:rPr>
                <w:rFonts w:ascii="Times New Roman" w:hAnsi="Times New Roman" w:cs="Calibri"/>
                <w:b/>
                <w:bCs/>
                <w:kern w:val="0"/>
                <w:sz w:val="21"/>
                <w:szCs w:val="21"/>
              </w:rPr>
            </w:pPr>
            <w:r>
              <w:rPr>
                <w:rFonts w:hint="eastAsia" w:ascii="Times New Roman" w:hAnsi="Times New Roman"/>
                <w:b/>
                <w:bCs/>
                <w:kern w:val="0"/>
                <w:sz w:val="21"/>
                <w:szCs w:val="21"/>
              </w:rPr>
              <w:t>六</w:t>
            </w:r>
          </w:p>
        </w:tc>
        <w:tc>
          <w:tcPr>
            <w:tcW w:w="702" w:type="dxa"/>
            <w:vAlign w:val="center"/>
          </w:tcPr>
          <w:p>
            <w:pPr>
              <w:adjustRightInd w:val="0"/>
              <w:snapToGrid w:val="0"/>
              <w:spacing w:line="240" w:lineRule="auto"/>
              <w:ind w:firstLine="0" w:firstLineChars="0"/>
              <w:jc w:val="center"/>
              <w:rPr>
                <w:rFonts w:ascii="宋体" w:hAnsi="Times New Roman" w:cs="Calibri"/>
                <w:b/>
                <w:bCs/>
                <w:sz w:val="18"/>
                <w:szCs w:val="18"/>
              </w:rPr>
            </w:pPr>
          </w:p>
        </w:tc>
        <w:tc>
          <w:tcPr>
            <w:tcW w:w="703" w:type="dxa"/>
            <w:vAlign w:val="center"/>
          </w:tcPr>
          <w:p>
            <w:pPr>
              <w:adjustRightInd w:val="0"/>
              <w:snapToGrid w:val="0"/>
              <w:spacing w:line="240" w:lineRule="auto"/>
              <w:ind w:firstLine="0" w:firstLineChars="0"/>
              <w:jc w:val="center"/>
              <w:rPr>
                <w:rFonts w:ascii="宋体" w:hAnsi="Times New Roman" w:cs="Calibri"/>
                <w:b/>
                <w:bCs/>
                <w:sz w:val="18"/>
                <w:szCs w:val="18"/>
              </w:rPr>
            </w:pP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18</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8</w:t>
            </w:r>
          </w:p>
        </w:tc>
        <w:tc>
          <w:tcPr>
            <w:tcW w:w="703" w:type="dxa"/>
            <w:vAlign w:val="center"/>
          </w:tcPr>
          <w:p>
            <w:pPr>
              <w:snapToGrid w:val="0"/>
              <w:spacing w:line="240" w:lineRule="auto"/>
              <w:ind w:left="-84" w:leftChars="-35" w:right="-84" w:rightChars="-35"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52" w:type="dxa"/>
            <w:vAlign w:val="center"/>
          </w:tcPr>
          <w:p>
            <w:pPr>
              <w:snapToGrid w:val="0"/>
              <w:spacing w:line="240" w:lineRule="auto"/>
              <w:ind w:firstLine="0" w:firstLineChars="0"/>
              <w:jc w:val="center"/>
              <w:rPr>
                <w:rFonts w:ascii="Times New Roman" w:hAnsi="Times New Roman" w:cs="Calibri"/>
                <w:b/>
                <w:bCs/>
                <w:kern w:val="0"/>
                <w:sz w:val="21"/>
                <w:szCs w:val="21"/>
              </w:rPr>
            </w:pPr>
            <w:r>
              <w:rPr>
                <w:rFonts w:hint="eastAsia" w:ascii="Times New Roman" w:hAnsi="Times New Roman"/>
                <w:b/>
                <w:bCs/>
                <w:kern w:val="0"/>
                <w:sz w:val="21"/>
                <w:szCs w:val="21"/>
              </w:rPr>
              <w:t>合计</w:t>
            </w:r>
          </w:p>
        </w:tc>
        <w:tc>
          <w:tcPr>
            <w:tcW w:w="702" w:type="dxa"/>
            <w:vAlign w:val="center"/>
          </w:tcPr>
          <w:p>
            <w:pPr>
              <w:adjustRightInd w:val="0"/>
              <w:snapToGrid w:val="0"/>
              <w:spacing w:line="240" w:lineRule="auto"/>
              <w:ind w:firstLine="0" w:firstLineChars="0"/>
              <w:jc w:val="center"/>
              <w:rPr>
                <w:rFonts w:ascii="宋体" w:hAnsi="Times New Roman" w:cs="Calibri"/>
                <w:b/>
                <w:bCs/>
                <w:sz w:val="18"/>
                <w:szCs w:val="18"/>
              </w:rPr>
            </w:pPr>
            <w:r>
              <w:rPr>
                <w:rFonts w:hint="eastAsia" w:ascii="宋体" w:hAnsi="Times New Roman" w:cs="Calibri"/>
                <w:b/>
                <w:bCs/>
                <w:sz w:val="18"/>
                <w:szCs w:val="18"/>
              </w:rPr>
              <w:t>86</w:t>
            </w:r>
          </w:p>
        </w:tc>
        <w:tc>
          <w:tcPr>
            <w:tcW w:w="703" w:type="dxa"/>
            <w:vAlign w:val="center"/>
          </w:tcPr>
          <w:p>
            <w:pPr>
              <w:adjustRightInd w:val="0"/>
              <w:snapToGrid w:val="0"/>
              <w:spacing w:line="240" w:lineRule="auto"/>
              <w:ind w:firstLine="0" w:firstLineChars="0"/>
              <w:jc w:val="center"/>
              <w:rPr>
                <w:rFonts w:ascii="宋体" w:hAnsi="Times New Roman" w:cs="Calibri"/>
                <w:b/>
                <w:bCs/>
                <w:sz w:val="18"/>
                <w:szCs w:val="18"/>
              </w:rPr>
            </w:pPr>
            <w:r>
              <w:rPr>
                <w:rFonts w:hint="eastAsia" w:ascii="宋体" w:hAnsi="Times New Roman" w:cs="Calibri"/>
                <w:b/>
                <w:bCs/>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3</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18</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1</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5</w:t>
            </w:r>
          </w:p>
        </w:tc>
        <w:tc>
          <w:tcPr>
            <w:tcW w:w="703" w:type="dxa"/>
            <w:vAlign w:val="center"/>
          </w:tcPr>
          <w:p>
            <w:pPr>
              <w:snapToGrid w:val="0"/>
              <w:spacing w:line="240" w:lineRule="auto"/>
              <w:ind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6</w:t>
            </w:r>
          </w:p>
        </w:tc>
        <w:tc>
          <w:tcPr>
            <w:tcW w:w="703" w:type="dxa"/>
            <w:vAlign w:val="center"/>
          </w:tcPr>
          <w:p>
            <w:pPr>
              <w:snapToGrid w:val="0"/>
              <w:spacing w:line="240" w:lineRule="auto"/>
              <w:ind w:left="-60" w:leftChars="-25" w:right="-60" w:rightChars="-25" w:firstLine="0" w:firstLineChars="0"/>
              <w:jc w:val="center"/>
              <w:rPr>
                <w:rFonts w:ascii="宋体" w:hAnsi="Times New Roman" w:cs="Calibri"/>
                <w:b/>
                <w:bCs/>
                <w:kern w:val="0"/>
                <w:sz w:val="18"/>
                <w:szCs w:val="18"/>
              </w:rPr>
            </w:pPr>
            <w:r>
              <w:rPr>
                <w:rFonts w:hint="eastAsia" w:ascii="宋体" w:hAnsi="Times New Roman" w:cs="Calibri"/>
                <w:b/>
                <w:bCs/>
                <w:kern w:val="0"/>
                <w:sz w:val="18"/>
                <w:szCs w:val="18"/>
              </w:rPr>
              <w:t>36</w:t>
            </w:r>
          </w:p>
        </w:tc>
        <w:tc>
          <w:tcPr>
            <w:tcW w:w="703" w:type="dxa"/>
            <w:vAlign w:val="center"/>
          </w:tcPr>
          <w:p>
            <w:pPr>
              <w:snapToGrid w:val="0"/>
              <w:spacing w:line="240" w:lineRule="auto"/>
              <w:ind w:right="-122" w:rightChars="-51" w:firstLine="0" w:firstLineChars="0"/>
              <w:rPr>
                <w:rFonts w:ascii="宋体" w:hAnsi="Times New Roman" w:cs="Calibri"/>
                <w:b/>
                <w:bCs/>
                <w:kern w:val="0"/>
                <w:sz w:val="18"/>
                <w:szCs w:val="18"/>
              </w:rPr>
            </w:pPr>
            <w:r>
              <w:rPr>
                <w:rFonts w:hint="eastAsia" w:ascii="宋体" w:hAnsi="Times New Roman" w:cs="Calibri"/>
                <w:b/>
                <w:bCs/>
                <w:kern w:val="0"/>
                <w:sz w:val="18"/>
                <w:szCs w:val="18"/>
              </w:rPr>
              <w:t>156</w:t>
            </w:r>
          </w:p>
        </w:tc>
      </w:tr>
    </w:tbl>
    <w:p>
      <w:pPr>
        <w:ind w:firstLine="482"/>
        <w:rPr>
          <w:b/>
        </w:rPr>
      </w:pPr>
    </w:p>
    <w:p>
      <w:pPr>
        <w:ind w:firstLine="482"/>
        <w:rPr>
          <w:b/>
        </w:rPr>
      </w:pPr>
      <w:r>
        <w:rPr>
          <w:rFonts w:hint="eastAsia"/>
          <w:b/>
        </w:rPr>
        <w:t>（二）教学进程安排表</w:t>
      </w:r>
    </w:p>
    <w:p>
      <w:pPr>
        <w:ind w:firstLine="480"/>
      </w:pPr>
      <w:r>
        <w:rPr>
          <w:rFonts w:hint="eastAsia"/>
        </w:rPr>
        <w:t>教学进程是对本专业技术技能人才培养、教育教学实施进程的总体安排，是专业人才培养方案实施的具体体现。见下表：</w:t>
      </w:r>
    </w:p>
    <w:tbl>
      <w:tblPr>
        <w:tblStyle w:val="11"/>
        <w:tblW w:w="9914" w:type="dxa"/>
        <w:jc w:val="center"/>
        <w:tblLayout w:type="fixed"/>
        <w:tblCellMar>
          <w:top w:w="0" w:type="dxa"/>
          <w:left w:w="108" w:type="dxa"/>
          <w:bottom w:w="0" w:type="dxa"/>
          <w:right w:w="108" w:type="dxa"/>
        </w:tblCellMar>
      </w:tblPr>
      <w:tblGrid>
        <w:gridCol w:w="620"/>
        <w:gridCol w:w="534"/>
        <w:gridCol w:w="534"/>
        <w:gridCol w:w="1936"/>
        <w:gridCol w:w="894"/>
        <w:gridCol w:w="660"/>
        <w:gridCol w:w="682"/>
        <w:gridCol w:w="682"/>
        <w:gridCol w:w="682"/>
        <w:gridCol w:w="668"/>
        <w:gridCol w:w="709"/>
        <w:gridCol w:w="877"/>
        <w:gridCol w:w="436"/>
      </w:tblGrid>
      <w:tr>
        <w:tblPrEx>
          <w:tblCellMar>
            <w:top w:w="0" w:type="dxa"/>
            <w:left w:w="108" w:type="dxa"/>
            <w:bottom w:w="0" w:type="dxa"/>
            <w:right w:w="108" w:type="dxa"/>
          </w:tblCellMar>
        </w:tblPrEx>
        <w:trPr>
          <w:trHeight w:val="330" w:hRule="atLeast"/>
          <w:jc w:val="center"/>
        </w:trPr>
        <w:tc>
          <w:tcPr>
            <w:tcW w:w="1688"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课程类别</w:t>
            </w:r>
          </w:p>
        </w:tc>
        <w:tc>
          <w:tcPr>
            <w:tcW w:w="19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课程名称</w:t>
            </w:r>
          </w:p>
        </w:tc>
        <w:tc>
          <w:tcPr>
            <w:tcW w:w="8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学分</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学时</w:t>
            </w:r>
          </w:p>
        </w:tc>
        <w:tc>
          <w:tcPr>
            <w:tcW w:w="430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各学期教学周数与周学时分配</w:t>
            </w: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考核方式</w:t>
            </w:r>
          </w:p>
        </w:tc>
      </w:tr>
      <w:tr>
        <w:tblPrEx>
          <w:tblCellMar>
            <w:top w:w="0" w:type="dxa"/>
            <w:left w:w="108" w:type="dxa"/>
            <w:bottom w:w="0" w:type="dxa"/>
            <w:right w:w="108" w:type="dxa"/>
          </w:tblCellMar>
        </w:tblPrEx>
        <w:trPr>
          <w:trHeight w:val="360" w:hRule="atLeast"/>
          <w:jc w:val="center"/>
        </w:trPr>
        <w:tc>
          <w:tcPr>
            <w:tcW w:w="168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360" w:hRule="atLeast"/>
          <w:jc w:val="center"/>
        </w:trPr>
        <w:tc>
          <w:tcPr>
            <w:tcW w:w="168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17周</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18周</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18周</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18周</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18周</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19周</w:t>
            </w: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342" w:hRule="atLeast"/>
          <w:jc w:val="center"/>
        </w:trPr>
        <w:tc>
          <w:tcPr>
            <w:tcW w:w="620" w:type="dxa"/>
            <w:vMerge w:val="restart"/>
            <w:tcBorders>
              <w:top w:val="nil"/>
              <w:left w:val="single" w:color="auto" w:sz="4" w:space="0"/>
              <w:right w:val="single" w:color="auto" w:sz="4" w:space="0"/>
            </w:tcBorders>
            <w:shd w:val="clear" w:color="auto" w:fill="auto"/>
            <w:textDirection w:val="tbRlV"/>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公共基础课</w:t>
            </w:r>
          </w:p>
        </w:tc>
        <w:tc>
          <w:tcPr>
            <w:tcW w:w="1068"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必修课</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思想政治</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8</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142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语文</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11</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196</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D</w:t>
            </w: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数学</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8</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142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D</w:t>
            </w: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英语</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8</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142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D</w:t>
            </w: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历史</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70</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信息技术</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105</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D</w:t>
            </w: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体育与健康</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10</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178</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艺术</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35</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化学</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36</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D</w:t>
            </w: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小计：(占33.6 %)</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59</w:t>
            </w:r>
          </w:p>
        </w:tc>
        <w:tc>
          <w:tcPr>
            <w:tcW w:w="660"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1046</w:t>
            </w:r>
          </w:p>
        </w:tc>
        <w:tc>
          <w:tcPr>
            <w:tcW w:w="682"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16</w:t>
            </w:r>
          </w:p>
        </w:tc>
        <w:tc>
          <w:tcPr>
            <w:tcW w:w="682"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16</w:t>
            </w:r>
          </w:p>
        </w:tc>
        <w:tc>
          <w:tcPr>
            <w:tcW w:w="682"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10</w:t>
            </w:r>
          </w:p>
        </w:tc>
        <w:tc>
          <w:tcPr>
            <w:tcW w:w="668"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10</w:t>
            </w:r>
          </w:p>
        </w:tc>
        <w:tc>
          <w:tcPr>
            <w:tcW w:w="709"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7</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restart"/>
            <w:tcBorders>
              <w:top w:val="nil"/>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限选课</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劳动教育</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18</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continue"/>
            <w:tcBorders>
              <w:top w:val="nil"/>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职业素养</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36</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continue"/>
            <w:tcBorders>
              <w:top w:val="nil"/>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国家安全教育</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36</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continue"/>
            <w:tcBorders>
              <w:top w:val="nil"/>
              <w:left w:val="single" w:color="auto" w:sz="4" w:space="0"/>
              <w:bottom w:val="single" w:color="000000" w:sz="4" w:space="0"/>
              <w:right w:val="single" w:color="000000"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中华优秀传统文化</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18</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bCs/>
                <w:kern w:val="0"/>
                <w:sz w:val="21"/>
                <w:szCs w:val="21"/>
              </w:rPr>
              <w:t>1</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15"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continue"/>
            <w:tcBorders>
              <w:top w:val="nil"/>
              <w:left w:val="single" w:color="auto" w:sz="4" w:space="0"/>
              <w:bottom w:val="single" w:color="000000" w:sz="4" w:space="0"/>
              <w:right w:val="single" w:color="000000"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物理</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36</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D</w:t>
            </w: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068" w:type="dxa"/>
            <w:gridSpan w:val="2"/>
            <w:vMerge w:val="continue"/>
            <w:tcBorders>
              <w:top w:val="nil"/>
              <w:left w:val="single" w:color="auto" w:sz="4" w:space="0"/>
              <w:bottom w:val="single" w:color="000000" w:sz="4" w:space="0"/>
              <w:right w:val="single" w:color="000000"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小计：(占4.6 %)</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8</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144</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0</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2</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4</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r>
      <w:tr>
        <w:tblPrEx>
          <w:tblCellMar>
            <w:top w:w="0" w:type="dxa"/>
            <w:left w:w="108" w:type="dxa"/>
            <w:bottom w:w="0" w:type="dxa"/>
            <w:right w:w="108" w:type="dxa"/>
          </w:tblCellMar>
        </w:tblPrEx>
        <w:trPr>
          <w:trHeight w:val="342" w:hRule="atLeast"/>
          <w:jc w:val="center"/>
        </w:trPr>
        <w:tc>
          <w:tcPr>
            <w:tcW w:w="620"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3004" w:type="dxa"/>
            <w:gridSpan w:val="3"/>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小计：(占 38.2 %)</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67</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1190</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16</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18</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12</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10</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11</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p>
        </w:tc>
      </w:tr>
      <w:tr>
        <w:tblPrEx>
          <w:tblCellMar>
            <w:top w:w="0" w:type="dxa"/>
            <w:left w:w="108" w:type="dxa"/>
            <w:bottom w:w="0" w:type="dxa"/>
            <w:right w:w="108" w:type="dxa"/>
          </w:tblCellMar>
        </w:tblPrEx>
        <w:trPr>
          <w:trHeight w:val="342" w:hRule="atLeast"/>
          <w:jc w:val="center"/>
        </w:trPr>
        <w:tc>
          <w:tcPr>
            <w:tcW w:w="62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专业技能课</w:t>
            </w:r>
          </w:p>
        </w:tc>
        <w:tc>
          <w:tcPr>
            <w:tcW w:w="534" w:type="dxa"/>
            <w:vMerge w:val="restart"/>
            <w:tcBorders>
              <w:top w:val="nil"/>
              <w:left w:val="single" w:color="auto" w:sz="4" w:space="0"/>
              <w:right w:val="single" w:color="auto" w:sz="4" w:space="0"/>
            </w:tcBorders>
            <w:shd w:val="clear" w:color="auto" w:fill="auto"/>
            <w:textDirection w:val="tbRlV"/>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必修课</w:t>
            </w:r>
          </w:p>
        </w:tc>
        <w:tc>
          <w:tcPr>
            <w:tcW w:w="534" w:type="dxa"/>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专</w:t>
            </w:r>
            <w:r>
              <w:rPr>
                <w:rFonts w:hint="eastAsia" w:asciiTheme="minorEastAsia" w:hAnsiTheme="minorEastAsia" w:eastAsiaTheme="minorEastAsia"/>
                <w:kern w:val="0"/>
                <w:sz w:val="21"/>
                <w:szCs w:val="21"/>
              </w:rPr>
              <w:br w:type="textWrapping"/>
            </w:r>
            <w:r>
              <w:rPr>
                <w:rFonts w:hint="eastAsia" w:asciiTheme="minorEastAsia" w:hAnsiTheme="minorEastAsia" w:eastAsiaTheme="minorEastAsia"/>
                <w:kern w:val="0"/>
                <w:sz w:val="21"/>
                <w:szCs w:val="21"/>
              </w:rPr>
              <w:t>业</w:t>
            </w:r>
            <w:r>
              <w:rPr>
                <w:rFonts w:hint="eastAsia" w:asciiTheme="minorEastAsia" w:hAnsiTheme="minorEastAsia" w:eastAsiaTheme="minorEastAsia"/>
                <w:kern w:val="0"/>
                <w:sz w:val="21"/>
                <w:szCs w:val="21"/>
              </w:rPr>
              <w:br w:type="textWrapping"/>
            </w:r>
            <w:r>
              <w:rPr>
                <w:rFonts w:hint="eastAsia" w:asciiTheme="minorEastAsia" w:hAnsiTheme="minorEastAsia" w:eastAsiaTheme="minorEastAsia"/>
                <w:kern w:val="0"/>
                <w:sz w:val="21"/>
                <w:szCs w:val="21"/>
              </w:rPr>
              <w:t>核</w:t>
            </w:r>
            <w:r>
              <w:rPr>
                <w:rFonts w:hint="eastAsia" w:asciiTheme="minorEastAsia" w:hAnsiTheme="minorEastAsia" w:eastAsiaTheme="minorEastAsia"/>
                <w:kern w:val="0"/>
                <w:sz w:val="21"/>
                <w:szCs w:val="21"/>
              </w:rPr>
              <w:br w:type="textWrapping"/>
            </w:r>
            <w:r>
              <w:rPr>
                <w:rFonts w:hint="eastAsia" w:asciiTheme="minorEastAsia" w:hAnsiTheme="minorEastAsia" w:eastAsiaTheme="minorEastAsia"/>
                <w:kern w:val="0"/>
                <w:sz w:val="21"/>
                <w:szCs w:val="21"/>
              </w:rPr>
              <w:t>心</w:t>
            </w:r>
            <w:r>
              <w:rPr>
                <w:rFonts w:hint="eastAsia" w:asciiTheme="minorEastAsia" w:hAnsiTheme="minorEastAsia" w:eastAsiaTheme="minorEastAsia"/>
                <w:kern w:val="0"/>
                <w:sz w:val="21"/>
                <w:szCs w:val="21"/>
              </w:rPr>
              <w:br w:type="textWrapping"/>
            </w:r>
            <w:r>
              <w:rPr>
                <w:rFonts w:hint="eastAsia" w:asciiTheme="minorEastAsia" w:hAnsiTheme="minorEastAsia" w:eastAsiaTheme="minorEastAsia"/>
                <w:kern w:val="0"/>
                <w:sz w:val="21"/>
                <w:szCs w:val="21"/>
              </w:rPr>
              <w:t>课</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机械制图</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0"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34</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D</w:t>
            </w:r>
          </w:p>
        </w:tc>
      </w:tr>
      <w:tr>
        <w:tblPrEx>
          <w:tblCellMar>
            <w:top w:w="0" w:type="dxa"/>
            <w:left w:w="108" w:type="dxa"/>
            <w:bottom w:w="0" w:type="dxa"/>
            <w:right w:w="108" w:type="dxa"/>
          </w:tblCellMar>
        </w:tblPrEx>
        <w:trPr>
          <w:trHeight w:val="342"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机械基础</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0"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34</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D</w:t>
            </w:r>
          </w:p>
        </w:tc>
      </w:tr>
      <w:tr>
        <w:tblPrEx>
          <w:tblCellMar>
            <w:top w:w="0" w:type="dxa"/>
            <w:left w:w="108" w:type="dxa"/>
            <w:bottom w:w="0" w:type="dxa"/>
            <w:right w:w="108" w:type="dxa"/>
          </w:tblCellMar>
        </w:tblPrEx>
        <w:trPr>
          <w:trHeight w:val="342"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电工基础</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660"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106</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D</w:t>
            </w:r>
          </w:p>
        </w:tc>
      </w:tr>
      <w:tr>
        <w:tblPrEx>
          <w:tblCellMar>
            <w:top w:w="0" w:type="dxa"/>
            <w:left w:w="108" w:type="dxa"/>
            <w:bottom w:w="0" w:type="dxa"/>
            <w:right w:w="108" w:type="dxa"/>
          </w:tblCellMar>
        </w:tblPrEx>
        <w:trPr>
          <w:trHeight w:val="342"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电工技能与实训</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660"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102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42"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电子技术基础</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60"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72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42"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电力拖动</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8</w:t>
            </w:r>
          </w:p>
        </w:tc>
        <w:tc>
          <w:tcPr>
            <w:tcW w:w="660"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144</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42"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电梯维修保养</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8</w:t>
            </w:r>
          </w:p>
        </w:tc>
        <w:tc>
          <w:tcPr>
            <w:tcW w:w="660"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144</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8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D</w:t>
            </w:r>
          </w:p>
        </w:tc>
      </w:tr>
      <w:tr>
        <w:tblPrEx>
          <w:tblCellMar>
            <w:top w:w="0" w:type="dxa"/>
            <w:left w:w="108" w:type="dxa"/>
            <w:bottom w:w="0" w:type="dxa"/>
            <w:right w:w="108" w:type="dxa"/>
          </w:tblCellMar>
        </w:tblPrEx>
        <w:trPr>
          <w:trHeight w:val="342"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电梯安装与调试</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60"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72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42"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小计：(占22.8 %)</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40</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708</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10</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255"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专</w:t>
            </w:r>
            <w:r>
              <w:rPr>
                <w:rFonts w:hint="eastAsia" w:asciiTheme="minorEastAsia" w:hAnsiTheme="minorEastAsia" w:eastAsiaTheme="minorEastAsia"/>
                <w:kern w:val="0"/>
                <w:sz w:val="21"/>
                <w:szCs w:val="21"/>
              </w:rPr>
              <w:br w:type="textWrapping"/>
            </w:r>
            <w:r>
              <w:rPr>
                <w:rFonts w:hint="eastAsia" w:asciiTheme="minorEastAsia" w:hAnsiTheme="minorEastAsia" w:eastAsiaTheme="minorEastAsia"/>
                <w:kern w:val="0"/>
                <w:sz w:val="21"/>
                <w:szCs w:val="21"/>
              </w:rPr>
              <w:t>业</w:t>
            </w:r>
            <w:r>
              <w:rPr>
                <w:rFonts w:hint="eastAsia" w:asciiTheme="minorEastAsia" w:hAnsiTheme="minorEastAsia" w:eastAsiaTheme="minorEastAsia"/>
                <w:kern w:val="0"/>
                <w:sz w:val="21"/>
                <w:szCs w:val="21"/>
              </w:rPr>
              <w:br w:type="textWrapping"/>
            </w:r>
            <w:r>
              <w:rPr>
                <w:rFonts w:hint="eastAsia" w:asciiTheme="minorEastAsia" w:hAnsiTheme="minorEastAsia" w:eastAsiaTheme="minorEastAsia"/>
                <w:kern w:val="0"/>
                <w:sz w:val="21"/>
                <w:szCs w:val="21"/>
              </w:rPr>
              <w:t>方向</w:t>
            </w:r>
            <w:r>
              <w:rPr>
                <w:rFonts w:hint="eastAsia" w:asciiTheme="minorEastAsia" w:hAnsiTheme="minorEastAsia" w:eastAsiaTheme="minorEastAsia"/>
                <w:kern w:val="0"/>
                <w:sz w:val="21"/>
                <w:szCs w:val="21"/>
              </w:rPr>
              <w:br w:type="textWrapping"/>
            </w:r>
            <w:r>
              <w:rPr>
                <w:rFonts w:hint="eastAsia" w:asciiTheme="minorEastAsia" w:hAnsiTheme="minorEastAsia" w:eastAsiaTheme="minorEastAsia"/>
                <w:kern w:val="0"/>
                <w:sz w:val="21"/>
                <w:szCs w:val="21"/>
              </w:rPr>
              <w:t>课</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AutoCAD绘图</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36</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255"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可编程控制器原理与应用</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72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255"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电梯结构与原理</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72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D</w:t>
            </w:r>
          </w:p>
        </w:tc>
      </w:tr>
      <w:tr>
        <w:tblPrEx>
          <w:tblCellMar>
            <w:top w:w="0" w:type="dxa"/>
            <w:left w:w="108" w:type="dxa"/>
            <w:bottom w:w="0" w:type="dxa"/>
            <w:right w:w="108" w:type="dxa"/>
          </w:tblCellMar>
        </w:tblPrEx>
        <w:trPr>
          <w:trHeight w:val="255"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电梯电气控制原理</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108</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255"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自动扶梯运行与维保</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72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60"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小计：(占11.4 %)</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20</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360</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0</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0</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10</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r>
      <w:tr>
        <w:tblPrEx>
          <w:tblCellMar>
            <w:top w:w="0" w:type="dxa"/>
            <w:left w:w="108" w:type="dxa"/>
            <w:bottom w:w="0" w:type="dxa"/>
            <w:right w:w="108" w:type="dxa"/>
          </w:tblCellMar>
        </w:tblPrEx>
        <w:trPr>
          <w:trHeight w:val="360"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2470" w:type="dxa"/>
            <w:gridSpan w:val="2"/>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小计：(占 34.2 %)</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60</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1068</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12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10</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16</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14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8</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342"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选修课</w:t>
            </w:r>
          </w:p>
        </w:tc>
        <w:tc>
          <w:tcPr>
            <w:tcW w:w="5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专业限选课</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变频器控制技术</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72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42"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PLC、变频器与触摸屏综合应用</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72</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42"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低压配电柜安装技术</w:t>
            </w:r>
          </w:p>
        </w:tc>
        <w:tc>
          <w:tcPr>
            <w:tcW w:w="894"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54</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342"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电气CAD基础</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36</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w:t>
            </w:r>
          </w:p>
        </w:tc>
      </w:tr>
      <w:tr>
        <w:tblPrEx>
          <w:tblCellMar>
            <w:top w:w="0" w:type="dxa"/>
            <w:left w:w="108" w:type="dxa"/>
            <w:bottom w:w="0" w:type="dxa"/>
            <w:right w:w="108" w:type="dxa"/>
          </w:tblCellMar>
        </w:tblPrEx>
        <w:trPr>
          <w:trHeight w:val="420"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小计：(占 7.5 %)</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13</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234</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0</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0</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0</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9</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r>
      <w:tr>
        <w:tblPrEx>
          <w:tblCellMar>
            <w:top w:w="0" w:type="dxa"/>
            <w:left w:w="108" w:type="dxa"/>
            <w:bottom w:w="0" w:type="dxa"/>
            <w:right w:w="108" w:type="dxa"/>
          </w:tblCellMar>
        </w:tblPrEx>
        <w:trPr>
          <w:trHeight w:val="342"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必修课</w:t>
            </w:r>
          </w:p>
        </w:tc>
        <w:tc>
          <w:tcPr>
            <w:tcW w:w="534"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实践课</w:t>
            </w:r>
          </w:p>
        </w:tc>
        <w:tc>
          <w:tcPr>
            <w:tcW w:w="19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军训</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56</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1周</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　</w:t>
            </w:r>
          </w:p>
        </w:tc>
      </w:tr>
      <w:tr>
        <w:tblPrEx>
          <w:tblCellMar>
            <w:top w:w="0" w:type="dxa"/>
            <w:left w:w="108" w:type="dxa"/>
            <w:bottom w:w="0" w:type="dxa"/>
            <w:right w:w="108" w:type="dxa"/>
          </w:tblCellMar>
        </w:tblPrEx>
        <w:trPr>
          <w:trHeight w:val="342"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岗位实习</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30</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540</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18周</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　</w:t>
            </w:r>
          </w:p>
        </w:tc>
      </w:tr>
      <w:tr>
        <w:tblPrEx>
          <w:tblCellMar>
            <w:top w:w="0" w:type="dxa"/>
            <w:left w:w="108" w:type="dxa"/>
            <w:bottom w:w="0" w:type="dxa"/>
            <w:right w:w="108" w:type="dxa"/>
          </w:tblCellMar>
        </w:tblPrEx>
        <w:trPr>
          <w:trHeight w:val="465"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毕业教育</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30</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1周</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C　</w:t>
            </w:r>
          </w:p>
        </w:tc>
      </w:tr>
      <w:tr>
        <w:tblPrEx>
          <w:tblCellMar>
            <w:top w:w="0" w:type="dxa"/>
            <w:left w:w="108" w:type="dxa"/>
            <w:bottom w:w="0" w:type="dxa"/>
            <w:right w:w="108" w:type="dxa"/>
          </w:tblCellMar>
        </w:tblPrEx>
        <w:trPr>
          <w:trHeight w:val="523"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heme="minorEastAsia" w:hAnsiTheme="minorEastAsia" w:eastAsiaTheme="minorEastAsia"/>
                <w:kern w:val="0"/>
                <w:sz w:val="21"/>
                <w:szCs w:val="21"/>
              </w:rPr>
            </w:pP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小计：(占20.1 %)</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35</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626</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　</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　</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　</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　</w:t>
            </w: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r>
      <w:tr>
        <w:tblPrEx>
          <w:tblCellMar>
            <w:top w:w="0" w:type="dxa"/>
            <w:left w:w="108" w:type="dxa"/>
            <w:bottom w:w="0" w:type="dxa"/>
            <w:right w:w="108" w:type="dxa"/>
          </w:tblCellMar>
        </w:tblPrEx>
        <w:trPr>
          <w:trHeight w:val="360" w:hRule="atLeast"/>
          <w:jc w:val="center"/>
        </w:trPr>
        <w:tc>
          <w:tcPr>
            <w:tcW w:w="362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合计</w:t>
            </w:r>
          </w:p>
        </w:tc>
        <w:tc>
          <w:tcPr>
            <w:tcW w:w="8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175</w:t>
            </w:r>
          </w:p>
        </w:tc>
        <w:tc>
          <w:tcPr>
            <w:tcW w:w="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3118</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28</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28</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28</w:t>
            </w:r>
          </w:p>
        </w:tc>
        <w:tc>
          <w:tcPr>
            <w:tcW w:w="6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28</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28</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b/>
                <w:bCs/>
                <w:kern w:val="0"/>
                <w:sz w:val="21"/>
                <w:szCs w:val="21"/>
              </w:rPr>
            </w:pPr>
          </w:p>
        </w:tc>
        <w:tc>
          <w:tcPr>
            <w:tcW w:w="4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w:t>
            </w:r>
          </w:p>
        </w:tc>
      </w:tr>
    </w:tbl>
    <w:p>
      <w:pPr>
        <w:ind w:firstLine="480"/>
      </w:pPr>
      <w:r>
        <w:rPr>
          <w:rFonts w:hint="eastAsia"/>
        </w:rPr>
        <w:t>说明：</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ind w:firstLine="360" w:firstLineChars="150"/>
      </w:pPr>
      <w:r>
        <w:rPr>
          <w:rFonts w:hint="eastAsia"/>
        </w:rPr>
        <w:t>1</w:t>
      </w:r>
      <w:r>
        <w:rPr>
          <w:rFonts w:hint="eastAsia"/>
          <w:lang w:eastAsia="zh-CN"/>
        </w:rPr>
        <w:t>.</w:t>
      </w:r>
      <w:r>
        <w:rPr>
          <w:rFonts w:hint="eastAsia"/>
        </w:rPr>
        <w:t>《劳动教育》、《职业素养》、《国家安全教育》、《中华优秀传统文化》在限选课中必须开设课程。</w:t>
      </w:r>
    </w:p>
    <w:p>
      <w:pPr>
        <w:ind w:firstLine="360" w:firstLineChars="150"/>
      </w:pPr>
      <w:r>
        <w:rPr>
          <w:rFonts w:hint="eastAsia"/>
        </w:rPr>
        <w:t>2</w:t>
      </w:r>
      <w:r>
        <w:rPr>
          <w:rFonts w:hint="eastAsia"/>
          <w:lang w:eastAsia="zh-CN"/>
        </w:rPr>
        <w:t>.</w:t>
      </w:r>
      <w:r>
        <w:rPr>
          <w:rFonts w:hint="eastAsia"/>
        </w:rPr>
        <w:t>化学课为我校模具制造技术和电梯安装与维修保养专业必修课、这两个专业化学课放到必修课那一栏。</w:t>
      </w:r>
    </w:p>
    <w:p>
      <w:pPr>
        <w:ind w:firstLine="360" w:firstLineChars="150"/>
      </w:pPr>
      <w:r>
        <w:rPr>
          <w:rFonts w:hint="eastAsia"/>
        </w:rPr>
        <w:t>3</w:t>
      </w:r>
      <w:r>
        <w:rPr>
          <w:rFonts w:hint="eastAsia"/>
          <w:lang w:eastAsia="zh-CN"/>
        </w:rPr>
        <w:t>.</w:t>
      </w:r>
      <w:r>
        <w:rPr>
          <w:rFonts w:hint="eastAsia"/>
        </w:rPr>
        <w:t>艺术课根据课程的安排可以放在第一学期或第二期一起上。</w:t>
      </w:r>
    </w:p>
    <w:p>
      <w:pPr>
        <w:ind w:firstLine="360" w:firstLineChars="150"/>
      </w:pPr>
      <w:r>
        <w:rPr>
          <w:rFonts w:hint="eastAsia"/>
        </w:rPr>
        <w:t>4</w:t>
      </w:r>
      <w:r>
        <w:rPr>
          <w:rFonts w:hint="eastAsia"/>
          <w:lang w:eastAsia="zh-CN"/>
        </w:rPr>
        <w:t>.</w:t>
      </w:r>
      <w:r>
        <w:rPr>
          <w:rFonts w:hint="eastAsia"/>
        </w:rPr>
        <w:t>专业限选课可根据专业课程情况作调整灵活安排上课的学期、上课的节数和选择开设的课程，但开设专业限选课的总课时，不能少于216学时。</w:t>
      </w:r>
    </w:p>
    <w:p>
      <w:pPr>
        <w:ind w:firstLine="360" w:firstLineChars="150"/>
      </w:pPr>
      <w:r>
        <w:rPr>
          <w:rFonts w:hint="eastAsia"/>
        </w:rPr>
        <w:t>5</w:t>
      </w:r>
      <w:r>
        <w:rPr>
          <w:rFonts w:hint="eastAsia"/>
          <w:lang w:eastAsia="zh-CN"/>
        </w:rPr>
        <w:t>.</w:t>
      </w:r>
      <w:r>
        <w:rPr>
          <w:rFonts w:hint="eastAsia"/>
        </w:rPr>
        <w:t>思想政治各模块开设安排，第一学期：中国特色社会主义，第二学期：心理健康与职业生涯，第三学期：哲学与人生，第四学期：职业道德与法治。</w:t>
      </w:r>
    </w:p>
    <w:p>
      <w:pPr>
        <w:ind w:firstLine="360" w:firstLineChars="150"/>
      </w:pPr>
      <w:r>
        <w:rPr>
          <w:rFonts w:hint="eastAsia"/>
        </w:rPr>
        <w:t>6</w:t>
      </w:r>
      <w:r>
        <w:rPr>
          <w:rFonts w:hint="eastAsia"/>
          <w:lang w:eastAsia="zh-CN"/>
        </w:rPr>
        <w:t>.</w:t>
      </w:r>
      <w:r>
        <w:rPr>
          <w:rFonts w:hint="eastAsia"/>
        </w:rPr>
        <w:t>开展现代学徒制或订单班培养的专业，可在第五个学期安排岗位课程（专业方向课或限选课）在企业实施教学。</w:t>
      </w:r>
    </w:p>
    <w:p>
      <w:pPr>
        <w:ind w:firstLine="360" w:firstLineChars="150"/>
      </w:pPr>
      <w:r>
        <w:rPr>
          <w:rFonts w:hint="eastAsia"/>
        </w:rPr>
        <w:t>7</w:t>
      </w:r>
      <w:r>
        <w:rPr>
          <w:rFonts w:hint="eastAsia"/>
          <w:lang w:eastAsia="zh-CN"/>
        </w:rPr>
        <w:t>.</w:t>
      </w:r>
      <w:r>
        <w:rPr>
          <w:rFonts w:hint="eastAsia"/>
        </w:rPr>
        <w:t>表中的小计占的比例可用每个大项的学时除总学时，保留小数点一位数。</w:t>
      </w:r>
    </w:p>
    <w:p>
      <w:pPr>
        <w:ind w:firstLine="360" w:firstLineChars="150"/>
      </w:pPr>
      <w:r>
        <w:rPr>
          <w:rFonts w:hint="eastAsia"/>
        </w:rPr>
        <w:t>8</w:t>
      </w:r>
      <w:r>
        <w:rPr>
          <w:rFonts w:hint="eastAsia"/>
          <w:lang w:eastAsia="zh-CN"/>
        </w:rPr>
        <w:t>.</w:t>
      </w:r>
      <w:r>
        <w:rPr>
          <w:rFonts w:hint="eastAsia"/>
        </w:rPr>
        <w:t>军训按1周7天、每天8课时开课。劳动周每学年开设1周，根据该学年教学周情况来确定开设的时间。</w:t>
      </w:r>
    </w:p>
    <w:p>
      <w:pPr>
        <w:ind w:firstLine="360" w:firstLineChars="150"/>
      </w:pPr>
      <w:r>
        <w:rPr>
          <w:rFonts w:hint="eastAsia"/>
        </w:rPr>
        <w:t>9</w:t>
      </w:r>
      <w:r>
        <w:rPr>
          <w:rFonts w:hint="eastAsia"/>
          <w:lang w:eastAsia="zh-CN"/>
        </w:rPr>
        <w:t>.</w:t>
      </w:r>
      <w:r>
        <w:rPr>
          <w:rFonts w:hint="eastAsia"/>
        </w:rPr>
        <w:t>考核方式分两种，一种是统考（用字母D表示），一种是考查（用字母C表示）。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ind w:firstLine="360" w:firstLineChars="150"/>
      </w:pPr>
    </w:p>
    <w:p>
      <w:pPr>
        <w:pStyle w:val="3"/>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八、实施保障</w:t>
      </w:r>
    </w:p>
    <w:p>
      <w:pPr>
        <w:ind w:firstLine="482"/>
        <w:rPr>
          <w:rFonts w:asciiTheme="minorEastAsia" w:hAnsiTheme="minorEastAsia" w:eastAsiaTheme="minorEastAsia"/>
          <w:b/>
          <w:szCs w:val="24"/>
        </w:rPr>
      </w:pPr>
      <w:r>
        <w:rPr>
          <w:rFonts w:hint="eastAsia" w:asciiTheme="minorEastAsia" w:hAnsiTheme="minorEastAsia" w:eastAsiaTheme="minorEastAsia"/>
          <w:b/>
          <w:szCs w:val="24"/>
        </w:rPr>
        <w:t>（一）师资队伍</w:t>
      </w:r>
    </w:p>
    <w:p>
      <w:pPr>
        <w:ind w:firstLine="480"/>
        <w:rPr>
          <w:rFonts w:asciiTheme="minorEastAsia" w:hAnsiTheme="minorEastAsia" w:eastAsiaTheme="minorEastAsia"/>
          <w:szCs w:val="24"/>
        </w:rPr>
      </w:pPr>
      <w:r>
        <w:rPr>
          <w:rFonts w:hint="eastAsia" w:asciiTheme="minorEastAsia" w:hAnsiTheme="minorEastAsia" w:eastAsiaTheme="minorEastAsia"/>
          <w:szCs w:val="24"/>
        </w:rPr>
        <w:t>本专业专任教师要求：具备本科及以上学历，师资队伍要求年龄、学历、职称结构合理。遵守国家法律法规，热爱祖国，拥护中国共产党的领导，忠诚人民教育事业，贯彻党和国家的教育方针；具有良好的职业道德和敬业精神，学风端正，教书育人，爱岗敬业，为人师表。任现职期间年度考核结果在合格以上。</w:t>
      </w:r>
    </w:p>
    <w:p>
      <w:pPr>
        <w:ind w:firstLine="480"/>
        <w:rPr>
          <w:rFonts w:asciiTheme="minorEastAsia" w:hAnsiTheme="minorEastAsia" w:eastAsiaTheme="minorEastAsia"/>
          <w:szCs w:val="24"/>
        </w:rPr>
      </w:pPr>
      <w:r>
        <w:rPr>
          <w:rFonts w:hint="eastAsia" w:asciiTheme="minorEastAsia" w:hAnsiTheme="minorEastAsia" w:eastAsiaTheme="minorEastAsia"/>
          <w:szCs w:val="24"/>
        </w:rPr>
        <w:t>本专业兼职教师要求：应具备丰富的工作经验，具备专科及以上学历或高级工及以上职业资格。兼职教师占学校专兼职教师总数不低于20%，原则上不超过30%，兼职教师任教课时数原则上不少于专业理论课和专业实践教学课时总数的30%。</w:t>
      </w:r>
    </w:p>
    <w:p>
      <w:pPr>
        <w:ind w:firstLine="482"/>
        <w:rPr>
          <w:rFonts w:asciiTheme="minorEastAsia" w:hAnsiTheme="minorEastAsia" w:eastAsiaTheme="minorEastAsia"/>
          <w:b/>
          <w:szCs w:val="24"/>
        </w:rPr>
      </w:pPr>
      <w:r>
        <w:rPr>
          <w:rFonts w:hint="eastAsia" w:asciiTheme="minorEastAsia" w:hAnsiTheme="minorEastAsia" w:eastAsiaTheme="minorEastAsia"/>
          <w:b/>
          <w:szCs w:val="24"/>
        </w:rPr>
        <w:t>（二）教学设施</w:t>
      </w:r>
    </w:p>
    <w:p>
      <w:pPr>
        <w:ind w:firstLine="480"/>
        <w:rPr>
          <w:rFonts w:asciiTheme="minorEastAsia" w:hAnsiTheme="minorEastAsia" w:eastAsiaTheme="minorEastAsia"/>
          <w:szCs w:val="24"/>
        </w:rPr>
      </w:pPr>
      <w:r>
        <w:rPr>
          <w:rFonts w:hint="eastAsia" w:asciiTheme="minorEastAsia" w:hAnsiTheme="minorEastAsia" w:eastAsiaTheme="minorEastAsia"/>
          <w:szCs w:val="24"/>
        </w:rPr>
        <w:t>本专业课室要求能同时容纳</w:t>
      </w:r>
      <w:r>
        <w:rPr>
          <w:rFonts w:asciiTheme="minorEastAsia" w:hAnsiTheme="minorEastAsia" w:eastAsiaTheme="minorEastAsia"/>
          <w:szCs w:val="24"/>
        </w:rPr>
        <w:t>50</w:t>
      </w:r>
      <w:r>
        <w:rPr>
          <w:rFonts w:hint="eastAsia" w:asciiTheme="minorEastAsia" w:hAnsiTheme="minorEastAsia" w:eastAsiaTheme="minorEastAsia"/>
          <w:szCs w:val="24"/>
        </w:rPr>
        <w:t>人上课，安全配置方面符合要求；校内实训场室要求能够容纳</w:t>
      </w:r>
      <w:r>
        <w:rPr>
          <w:rFonts w:asciiTheme="minorEastAsia" w:hAnsiTheme="minorEastAsia" w:eastAsiaTheme="minorEastAsia"/>
          <w:szCs w:val="24"/>
        </w:rPr>
        <w:t>25-50</w:t>
      </w:r>
      <w:r>
        <w:rPr>
          <w:rFonts w:hint="eastAsia" w:asciiTheme="minorEastAsia" w:hAnsiTheme="minorEastAsia" w:eastAsiaTheme="minorEastAsia"/>
          <w:szCs w:val="24"/>
        </w:rPr>
        <w:t>人上课，其中电工电子实训室、</w:t>
      </w:r>
      <w:r>
        <w:rPr>
          <w:rFonts w:asciiTheme="minorEastAsia" w:hAnsiTheme="minorEastAsia" w:eastAsiaTheme="minorEastAsia"/>
          <w:szCs w:val="24"/>
        </w:rPr>
        <w:t>PLC</w:t>
      </w:r>
      <w:r>
        <w:rPr>
          <w:rFonts w:hint="eastAsia" w:asciiTheme="minorEastAsia" w:hAnsiTheme="minorEastAsia" w:eastAsiaTheme="minorEastAsia"/>
          <w:szCs w:val="24"/>
        </w:rPr>
        <w:t>和变频器综合实训室各设置</w:t>
      </w:r>
      <w:r>
        <w:rPr>
          <w:rFonts w:asciiTheme="minorEastAsia" w:hAnsiTheme="minorEastAsia" w:eastAsiaTheme="minorEastAsia"/>
          <w:szCs w:val="24"/>
        </w:rPr>
        <w:t>2</w:t>
      </w:r>
      <w:r>
        <w:rPr>
          <w:rFonts w:hint="eastAsia" w:asciiTheme="minorEastAsia" w:hAnsiTheme="minorEastAsia" w:eastAsiaTheme="minorEastAsia"/>
          <w:szCs w:val="24"/>
        </w:rPr>
        <w:t>个实训场室。校外实习实训基地根据企业的具体情况，可通过师傅带徒弟的形式安排学生从事电梯维修保养工作。实训基地的要求如下表所示。</w:t>
      </w:r>
    </w:p>
    <w:p>
      <w:pPr>
        <w:ind w:firstLine="480"/>
        <w:jc w:val="center"/>
        <w:rPr>
          <w:rFonts w:hint="eastAsia"/>
        </w:rPr>
      </w:pPr>
    </w:p>
    <w:p>
      <w:pPr>
        <w:ind w:firstLine="480"/>
        <w:jc w:val="center"/>
        <w:rPr>
          <w:rFonts w:ascii="仿宋_GB2312" w:hAnsi="宋体" w:eastAsia="仿宋_GB2312"/>
          <w:b/>
          <w:szCs w:val="21"/>
        </w:rPr>
      </w:pPr>
      <w:r>
        <w:rPr>
          <w:rFonts w:hint="eastAsia"/>
        </w:rPr>
        <w:t>校内实践教学条件配置与要求</w:t>
      </w:r>
    </w:p>
    <w:tbl>
      <w:tblPr>
        <w:tblStyle w:val="1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595"/>
        <w:gridCol w:w="1717"/>
        <w:gridCol w:w="2352"/>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98" w:type="dxa"/>
            <w:vAlign w:val="center"/>
          </w:tcPr>
          <w:p>
            <w:pPr>
              <w:snapToGrid w:val="0"/>
              <w:spacing w:line="288" w:lineRule="auto"/>
              <w:ind w:firstLine="0" w:firstLineChars="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序号</w:t>
            </w:r>
          </w:p>
        </w:tc>
        <w:tc>
          <w:tcPr>
            <w:tcW w:w="1595" w:type="dxa"/>
            <w:vAlign w:val="center"/>
          </w:tcPr>
          <w:p>
            <w:pPr>
              <w:snapToGrid w:val="0"/>
              <w:spacing w:line="288" w:lineRule="auto"/>
              <w:ind w:firstLine="0" w:firstLineChars="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实验实训室名称</w:t>
            </w:r>
          </w:p>
        </w:tc>
        <w:tc>
          <w:tcPr>
            <w:tcW w:w="1717" w:type="dxa"/>
            <w:vAlign w:val="center"/>
          </w:tcPr>
          <w:p>
            <w:pPr>
              <w:snapToGrid w:val="0"/>
              <w:spacing w:line="288" w:lineRule="auto"/>
              <w:ind w:firstLine="0" w:firstLineChars="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所属实训基地</w:t>
            </w:r>
          </w:p>
        </w:tc>
        <w:tc>
          <w:tcPr>
            <w:tcW w:w="2352" w:type="dxa"/>
            <w:vAlign w:val="center"/>
          </w:tcPr>
          <w:p>
            <w:pPr>
              <w:snapToGrid w:val="0"/>
              <w:spacing w:line="288" w:lineRule="auto"/>
              <w:ind w:firstLine="0" w:firstLineChars="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能完成的实训项目</w:t>
            </w:r>
          </w:p>
        </w:tc>
        <w:tc>
          <w:tcPr>
            <w:tcW w:w="3060" w:type="dxa"/>
            <w:vAlign w:val="center"/>
          </w:tcPr>
          <w:p>
            <w:pPr>
              <w:snapToGrid w:val="0"/>
              <w:spacing w:line="288" w:lineRule="auto"/>
              <w:ind w:firstLine="0" w:firstLineChars="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主要设备的配置要求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8"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1</w:t>
            </w:r>
          </w:p>
        </w:tc>
        <w:tc>
          <w:tcPr>
            <w:tcW w:w="1595"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电工实训室</w:t>
            </w:r>
          </w:p>
        </w:tc>
        <w:tc>
          <w:tcPr>
            <w:tcW w:w="1717"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南海一职</w:t>
            </w:r>
          </w:p>
        </w:tc>
        <w:tc>
          <w:tcPr>
            <w:tcW w:w="2352"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电工各类实操项目的操作</w:t>
            </w:r>
          </w:p>
        </w:tc>
        <w:tc>
          <w:tcPr>
            <w:tcW w:w="3060" w:type="dxa"/>
            <w:vAlign w:val="center"/>
          </w:tcPr>
          <w:p>
            <w:pPr>
              <w:spacing w:line="240" w:lineRule="auto"/>
              <w:ind w:firstLine="0" w:firstLineChars="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一控一灯、两控一灯、日光灯、三相配电屏、电动机正反转等电路板一批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8"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2</w:t>
            </w:r>
          </w:p>
        </w:tc>
        <w:tc>
          <w:tcPr>
            <w:tcW w:w="1595"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电子实训室</w:t>
            </w:r>
          </w:p>
        </w:tc>
        <w:tc>
          <w:tcPr>
            <w:tcW w:w="1717"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南海一职</w:t>
            </w:r>
          </w:p>
        </w:tc>
        <w:tc>
          <w:tcPr>
            <w:tcW w:w="2352"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电子基本技能训练</w:t>
            </w:r>
            <w:r>
              <w:rPr>
                <w:rFonts w:cs="Times New Roman" w:asciiTheme="minorEastAsia" w:hAnsiTheme="minorEastAsia" w:eastAsiaTheme="minorEastAsia"/>
                <w:sz w:val="21"/>
                <w:szCs w:val="21"/>
              </w:rPr>
              <w:t xml:space="preserve"> </w:t>
            </w:r>
          </w:p>
        </w:tc>
        <w:tc>
          <w:tcPr>
            <w:tcW w:w="3060" w:type="dxa"/>
            <w:vAlign w:val="center"/>
          </w:tcPr>
          <w:p>
            <w:pPr>
              <w:spacing w:line="240" w:lineRule="auto"/>
              <w:ind w:firstLine="0" w:firstLineChars="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调光电路实训等实验设备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8"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3</w:t>
            </w:r>
          </w:p>
        </w:tc>
        <w:tc>
          <w:tcPr>
            <w:tcW w:w="1595"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PLC</w:t>
            </w:r>
            <w:r>
              <w:rPr>
                <w:rFonts w:hint="eastAsia" w:cs="Times New Roman" w:asciiTheme="minorEastAsia" w:hAnsiTheme="minorEastAsia" w:eastAsiaTheme="minorEastAsia"/>
                <w:sz w:val="21"/>
                <w:szCs w:val="21"/>
              </w:rPr>
              <w:t>、变频器综合实训室</w:t>
            </w:r>
          </w:p>
        </w:tc>
        <w:tc>
          <w:tcPr>
            <w:tcW w:w="1717"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南海一职</w:t>
            </w:r>
          </w:p>
        </w:tc>
        <w:tc>
          <w:tcPr>
            <w:tcW w:w="2352"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PLC编程，变频器参数设置实训</w:t>
            </w:r>
          </w:p>
        </w:tc>
        <w:tc>
          <w:tcPr>
            <w:tcW w:w="3060" w:type="dxa"/>
            <w:vAlign w:val="center"/>
          </w:tcPr>
          <w:p>
            <w:pPr>
              <w:spacing w:line="240" w:lineRule="auto"/>
              <w:ind w:firstLine="0" w:firstLineChars="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自主设计的</w:t>
            </w:r>
            <w:r>
              <w:rPr>
                <w:rFonts w:cs="Times New Roman" w:asciiTheme="minorEastAsia" w:hAnsiTheme="minorEastAsia" w:eastAsiaTheme="minorEastAsia"/>
                <w:sz w:val="21"/>
                <w:szCs w:val="21"/>
              </w:rPr>
              <w:t>PLC</w:t>
            </w:r>
            <w:r>
              <w:rPr>
                <w:rFonts w:hint="eastAsia" w:cs="Times New Roman" w:asciiTheme="minorEastAsia" w:hAnsiTheme="minorEastAsia" w:eastAsiaTheme="minorEastAsia"/>
                <w:sz w:val="21"/>
                <w:szCs w:val="21"/>
              </w:rPr>
              <w:t>和变频器实训板</w:t>
            </w:r>
            <w:r>
              <w:rPr>
                <w:rFonts w:cs="Times New Roman" w:asciiTheme="minorEastAsia" w:hAnsiTheme="minorEastAsia" w:eastAsiaTheme="minorEastAsia"/>
                <w:sz w:val="21"/>
                <w:szCs w:val="21"/>
              </w:rPr>
              <w:t>50</w:t>
            </w:r>
            <w:r>
              <w:rPr>
                <w:rFonts w:hint="eastAsia" w:cs="Times New Roman" w:asciiTheme="minorEastAsia" w:hAnsiTheme="minorEastAsia" w:eastAsia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8"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4</w:t>
            </w:r>
          </w:p>
        </w:tc>
        <w:tc>
          <w:tcPr>
            <w:tcW w:w="1595"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电梯三维仿真室</w:t>
            </w:r>
          </w:p>
        </w:tc>
        <w:tc>
          <w:tcPr>
            <w:tcW w:w="1717"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南海一职</w:t>
            </w:r>
          </w:p>
        </w:tc>
        <w:tc>
          <w:tcPr>
            <w:tcW w:w="2352" w:type="dxa"/>
            <w:vAlign w:val="center"/>
          </w:tcPr>
          <w:p>
            <w:pPr>
              <w:spacing w:line="240"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电梯结构与原理、扶梯结构与原理、电梯安装、电梯维修保养课程仿真训练</w:t>
            </w:r>
          </w:p>
        </w:tc>
        <w:tc>
          <w:tcPr>
            <w:tcW w:w="3060" w:type="dxa"/>
            <w:vAlign w:val="center"/>
          </w:tcPr>
          <w:p>
            <w:pPr>
              <w:spacing w:line="240" w:lineRule="auto"/>
              <w:ind w:firstLine="0" w:firstLineChars="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京通电梯仿真软件</w:t>
            </w:r>
            <w:r>
              <w:rPr>
                <w:rFonts w:cs="Times New Roman" w:asciiTheme="minorEastAsia" w:hAnsiTheme="minorEastAsia" w:eastAsiaTheme="minorEastAsia"/>
                <w:sz w:val="21"/>
                <w:szCs w:val="21"/>
              </w:rPr>
              <w:t>50</w:t>
            </w:r>
            <w:r>
              <w:rPr>
                <w:rFonts w:hint="eastAsia" w:cs="Times New Roman" w:asciiTheme="minorEastAsia" w:hAnsiTheme="minorEastAsia" w:eastAsiaTheme="minorEastAsia"/>
                <w:sz w:val="21"/>
                <w:szCs w:val="21"/>
              </w:rPr>
              <w:t>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8"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5</w:t>
            </w:r>
          </w:p>
        </w:tc>
        <w:tc>
          <w:tcPr>
            <w:tcW w:w="1595"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电梯机械实训室</w:t>
            </w:r>
          </w:p>
        </w:tc>
        <w:tc>
          <w:tcPr>
            <w:tcW w:w="1717"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南海一职</w:t>
            </w:r>
          </w:p>
        </w:tc>
        <w:tc>
          <w:tcPr>
            <w:tcW w:w="2352"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电梯机械项目实训</w:t>
            </w:r>
          </w:p>
        </w:tc>
        <w:tc>
          <w:tcPr>
            <w:tcW w:w="3060" w:type="dxa"/>
            <w:vAlign w:val="center"/>
          </w:tcPr>
          <w:p>
            <w:pPr>
              <w:snapToGrid w:val="0"/>
              <w:spacing w:line="288" w:lineRule="auto"/>
              <w:ind w:firstLine="0" w:firstLineChars="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电梯导轨实训装置</w:t>
            </w:r>
            <w:r>
              <w:rPr>
                <w:rFonts w:cs="Times New Roman" w:asciiTheme="minorEastAsia" w:hAnsiTheme="minorEastAsia" w:eastAsiaTheme="minorEastAsia"/>
                <w:sz w:val="21"/>
                <w:szCs w:val="21"/>
              </w:rPr>
              <w:t>4</w:t>
            </w:r>
            <w:r>
              <w:rPr>
                <w:rFonts w:hint="eastAsia" w:cs="Times New Roman" w:asciiTheme="minorEastAsia" w:hAnsiTheme="minorEastAsia" w:eastAsiaTheme="minorEastAsia"/>
                <w:sz w:val="21"/>
                <w:szCs w:val="21"/>
              </w:rPr>
              <w:t>套、层轿门联动实训装置</w:t>
            </w:r>
            <w:r>
              <w:rPr>
                <w:rFonts w:cs="Times New Roman" w:asciiTheme="minorEastAsia" w:hAnsiTheme="minorEastAsia" w:eastAsiaTheme="minorEastAsia"/>
                <w:sz w:val="21"/>
                <w:szCs w:val="21"/>
              </w:rPr>
              <w:t>11</w:t>
            </w:r>
            <w:r>
              <w:rPr>
                <w:rFonts w:hint="eastAsia" w:cs="Times New Roman" w:asciiTheme="minorEastAsia" w:hAnsiTheme="minorEastAsia" w:eastAsiaTheme="minorEastAsia"/>
                <w:sz w:val="21"/>
                <w:szCs w:val="21"/>
              </w:rPr>
              <w:t>套、层门实训装置</w:t>
            </w:r>
            <w:r>
              <w:rPr>
                <w:rFonts w:cs="Times New Roman" w:asciiTheme="minorEastAsia" w:hAnsiTheme="minorEastAsia" w:eastAsiaTheme="minorEastAsia"/>
                <w:sz w:val="21"/>
                <w:szCs w:val="21"/>
              </w:rPr>
              <w:t>17</w:t>
            </w:r>
            <w:r>
              <w:rPr>
                <w:rFonts w:hint="eastAsia" w:cs="Times New Roman" w:asciiTheme="minorEastAsia" w:hAnsiTheme="minorEastAsia" w:eastAsiaTheme="minorEastAsia"/>
                <w:sz w:val="21"/>
                <w:szCs w:val="21"/>
              </w:rPr>
              <w:t>套、限速器</w:t>
            </w:r>
            <w:r>
              <w:rPr>
                <w:rFonts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rPr>
              <w:t>安全钳联动实训装置</w:t>
            </w: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套、轿厢拆装实训装置</w:t>
            </w:r>
            <w:r>
              <w:rPr>
                <w:rFonts w:cs="Times New Roman" w:asciiTheme="minorEastAsia" w:hAnsiTheme="minorEastAsia" w:eastAsiaTheme="minorEastAsia"/>
                <w:sz w:val="21"/>
                <w:szCs w:val="21"/>
              </w:rPr>
              <w:t>1</w:t>
            </w:r>
            <w:r>
              <w:rPr>
                <w:rFonts w:hint="eastAsia" w:cs="Times New Roman" w:asciiTheme="minorEastAsia" w:hAnsiTheme="minorEastAsia" w:eastAsiaTheme="minorEastAsia"/>
                <w:sz w:val="21"/>
                <w:szCs w:val="21"/>
              </w:rPr>
              <w:t>套、绳头实训装置</w:t>
            </w:r>
            <w:r>
              <w:rPr>
                <w:rFonts w:cs="Times New Roman" w:asciiTheme="minorEastAsia" w:hAnsiTheme="minorEastAsia" w:eastAsiaTheme="minorEastAsia"/>
                <w:sz w:val="21"/>
                <w:szCs w:val="21"/>
              </w:rPr>
              <w:t>4</w:t>
            </w:r>
            <w:r>
              <w:rPr>
                <w:rFonts w:hint="eastAsia" w:cs="Times New Roman" w:asciiTheme="minorEastAsia" w:hAnsiTheme="minorEastAsia" w:eastAsiaTheme="minorEastAsia"/>
                <w:sz w:val="21"/>
                <w:szCs w:val="21"/>
              </w:rPr>
              <w:t>套，曳引机实训装置</w:t>
            </w:r>
            <w:r>
              <w:rPr>
                <w:rFonts w:cs="Times New Roman" w:asciiTheme="minorEastAsia" w:hAnsiTheme="minorEastAsia" w:eastAsiaTheme="minorEastAsia"/>
                <w:sz w:val="21"/>
                <w:szCs w:val="21"/>
              </w:rPr>
              <w:t>4</w:t>
            </w:r>
            <w:r>
              <w:rPr>
                <w:rFonts w:hint="eastAsia" w:cs="Times New Roman" w:asciiTheme="minorEastAsia" w:hAnsiTheme="minorEastAsia" w:eastAsia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8"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6</w:t>
            </w:r>
          </w:p>
        </w:tc>
        <w:tc>
          <w:tcPr>
            <w:tcW w:w="1595"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电梯电气实训室</w:t>
            </w:r>
          </w:p>
        </w:tc>
        <w:tc>
          <w:tcPr>
            <w:tcW w:w="1717"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南海一职</w:t>
            </w:r>
          </w:p>
        </w:tc>
        <w:tc>
          <w:tcPr>
            <w:tcW w:w="2352"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电梯电气控制电路训练</w:t>
            </w:r>
          </w:p>
        </w:tc>
        <w:tc>
          <w:tcPr>
            <w:tcW w:w="3060" w:type="dxa"/>
            <w:vAlign w:val="center"/>
          </w:tcPr>
          <w:p>
            <w:pPr>
              <w:snapToGrid w:val="0"/>
              <w:spacing w:line="288" w:lineRule="auto"/>
              <w:ind w:firstLine="0" w:firstLineChars="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YL-770</w:t>
            </w:r>
            <w:r>
              <w:rPr>
                <w:rFonts w:hint="eastAsia" w:cs="Times New Roman" w:asciiTheme="minorEastAsia" w:hAnsiTheme="minorEastAsia" w:eastAsiaTheme="minorEastAsia"/>
                <w:sz w:val="21"/>
                <w:szCs w:val="21"/>
              </w:rPr>
              <w:t>（一体机控制系统）</w:t>
            </w:r>
            <w:r>
              <w:rPr>
                <w:rFonts w:cs="Times New Roman" w:asciiTheme="minorEastAsia" w:hAnsiTheme="minorEastAsia" w:eastAsiaTheme="minorEastAsia"/>
                <w:sz w:val="21"/>
                <w:szCs w:val="21"/>
              </w:rPr>
              <w:t>5</w:t>
            </w:r>
            <w:r>
              <w:rPr>
                <w:rFonts w:hint="eastAsia" w:cs="Times New Roman" w:asciiTheme="minorEastAsia" w:hAnsiTheme="minorEastAsia" w:eastAsiaTheme="minorEastAsia"/>
                <w:sz w:val="21"/>
                <w:szCs w:val="21"/>
              </w:rPr>
              <w:t>套</w:t>
            </w:r>
            <w:r>
              <w:rPr>
                <w:rFonts w:cs="Times New Roman" w:asciiTheme="minorEastAsia" w:hAnsiTheme="minorEastAsia" w:eastAsiaTheme="minorEastAsia"/>
                <w:sz w:val="21"/>
                <w:szCs w:val="21"/>
              </w:rPr>
              <w:t xml:space="preserve"> </w:t>
            </w: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YL-770</w:t>
            </w:r>
            <w:r>
              <w:rPr>
                <w:rFonts w:hint="eastAsia" w:cs="Times New Roman" w:asciiTheme="minorEastAsia" w:hAnsiTheme="minorEastAsia" w:eastAsiaTheme="minorEastAsia"/>
                <w:sz w:val="21"/>
                <w:szCs w:val="21"/>
              </w:rPr>
              <w:t>（继电器控制系统</w:t>
            </w: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8"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7</w:t>
            </w:r>
          </w:p>
        </w:tc>
        <w:tc>
          <w:tcPr>
            <w:tcW w:w="1595"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电梯综合实训室</w:t>
            </w:r>
          </w:p>
        </w:tc>
        <w:tc>
          <w:tcPr>
            <w:tcW w:w="1717"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南海一职</w:t>
            </w:r>
          </w:p>
        </w:tc>
        <w:tc>
          <w:tcPr>
            <w:tcW w:w="2352"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电梯结构认知、电梯电气故障排除、电梯维修保养等项目综合实训</w:t>
            </w:r>
          </w:p>
        </w:tc>
        <w:tc>
          <w:tcPr>
            <w:tcW w:w="3060" w:type="dxa"/>
            <w:vAlign w:val="center"/>
          </w:tcPr>
          <w:p>
            <w:pPr>
              <w:snapToGrid w:val="0"/>
              <w:spacing w:line="288" w:lineRule="auto"/>
              <w:ind w:firstLine="0" w:firstLineChars="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YL-777</w:t>
            </w:r>
            <w:r>
              <w:rPr>
                <w:rFonts w:hint="eastAsia" w:cs="Times New Roman" w:asciiTheme="minorEastAsia" w:hAnsiTheme="minorEastAsia" w:eastAsiaTheme="minorEastAsia"/>
                <w:sz w:val="21"/>
                <w:szCs w:val="21"/>
              </w:rPr>
              <w:t>直梯实训设备</w:t>
            </w: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8"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8</w:t>
            </w:r>
          </w:p>
        </w:tc>
        <w:tc>
          <w:tcPr>
            <w:tcW w:w="1595"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扶梯实训室</w:t>
            </w:r>
          </w:p>
        </w:tc>
        <w:tc>
          <w:tcPr>
            <w:tcW w:w="1717"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南海一职</w:t>
            </w:r>
          </w:p>
        </w:tc>
        <w:tc>
          <w:tcPr>
            <w:tcW w:w="2352"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扶梯结构认知、扶梯电气故障排除、扶梯维修保养等项目综合实训</w:t>
            </w:r>
          </w:p>
        </w:tc>
        <w:tc>
          <w:tcPr>
            <w:tcW w:w="3060" w:type="dxa"/>
            <w:vAlign w:val="center"/>
          </w:tcPr>
          <w:p>
            <w:pPr>
              <w:snapToGrid w:val="0"/>
              <w:spacing w:line="288" w:lineRule="auto"/>
              <w:ind w:firstLine="0" w:firstLineChars="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扶梯实训设备</w:t>
            </w:r>
            <w:r>
              <w:rPr>
                <w:rFonts w:cs="Times New Roman" w:asciiTheme="minorEastAsia" w:hAnsiTheme="minorEastAsia" w:eastAsiaTheme="minorEastAsia"/>
                <w:sz w:val="21"/>
                <w:szCs w:val="21"/>
              </w:rPr>
              <w:t>1</w:t>
            </w:r>
            <w:r>
              <w:rPr>
                <w:rFonts w:hint="eastAsia" w:cs="Times New Roman" w:asciiTheme="minorEastAsia" w:hAnsiTheme="minorEastAsia" w:eastAsia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98"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9</w:t>
            </w:r>
          </w:p>
        </w:tc>
        <w:tc>
          <w:tcPr>
            <w:tcW w:w="1595"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电气实训车间</w:t>
            </w:r>
          </w:p>
        </w:tc>
        <w:tc>
          <w:tcPr>
            <w:tcW w:w="1717"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南海一职</w:t>
            </w:r>
          </w:p>
        </w:tc>
        <w:tc>
          <w:tcPr>
            <w:tcW w:w="2352" w:type="dxa"/>
            <w:vAlign w:val="center"/>
          </w:tcPr>
          <w:p>
            <w:pPr>
              <w:snapToGrid w:val="0"/>
              <w:spacing w:line="288" w:lineRule="auto"/>
              <w:ind w:firstLine="0" w:firstLineChars="0"/>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低压配电柜一二次配线实训</w:t>
            </w:r>
          </w:p>
        </w:tc>
        <w:tc>
          <w:tcPr>
            <w:tcW w:w="3060" w:type="dxa"/>
            <w:vAlign w:val="center"/>
          </w:tcPr>
          <w:p>
            <w:pPr>
              <w:snapToGrid w:val="0"/>
              <w:spacing w:line="288" w:lineRule="auto"/>
              <w:ind w:firstLine="0" w:firstLineChars="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配电柜实训设备一批</w:t>
            </w:r>
          </w:p>
        </w:tc>
      </w:tr>
    </w:tbl>
    <w:p>
      <w:pPr>
        <w:overflowPunct w:val="0"/>
        <w:adjustRightInd w:val="0"/>
        <w:spacing w:line="240" w:lineRule="auto"/>
        <w:ind w:firstLine="640"/>
        <w:jc w:val="center"/>
        <w:rPr>
          <w:rFonts w:ascii="Times New Roman" w:hAnsi="Times New Roman" w:eastAsia="方正仿宋简体" w:cs="Times New Roman"/>
          <w:sz w:val="32"/>
        </w:rPr>
      </w:pPr>
    </w:p>
    <w:p>
      <w:pPr>
        <w:ind w:firstLine="480"/>
        <w:jc w:val="center"/>
      </w:pPr>
      <w:r>
        <w:rPr>
          <w:rFonts w:hint="eastAsia"/>
        </w:rPr>
        <w:t>校外实践教学条件配置与要求</w:t>
      </w:r>
    </w:p>
    <w:tbl>
      <w:tblPr>
        <w:tblStyle w:val="11"/>
        <w:tblpPr w:leftFromText="180" w:rightFromText="180" w:vertAnchor="text" w:tblpX="-351" w:tblpY="1"/>
        <w:tblOverlap w:val="never"/>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226"/>
        <w:gridCol w:w="5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73" w:type="dxa"/>
            <w:vAlign w:val="center"/>
          </w:tcPr>
          <w:p>
            <w:pPr>
              <w:snapToGrid w:val="0"/>
              <w:spacing w:line="288" w:lineRule="auto"/>
              <w:ind w:firstLine="0" w:firstLineChars="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序号</w:t>
            </w:r>
          </w:p>
        </w:tc>
        <w:tc>
          <w:tcPr>
            <w:tcW w:w="3226" w:type="dxa"/>
            <w:vAlign w:val="center"/>
          </w:tcPr>
          <w:p>
            <w:pPr>
              <w:snapToGrid w:val="0"/>
              <w:spacing w:line="288" w:lineRule="auto"/>
              <w:ind w:firstLine="0" w:firstLineChars="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实习基地名称</w:t>
            </w:r>
          </w:p>
        </w:tc>
        <w:tc>
          <w:tcPr>
            <w:tcW w:w="5049" w:type="dxa"/>
            <w:vAlign w:val="center"/>
          </w:tcPr>
          <w:p>
            <w:pPr>
              <w:snapToGrid w:val="0"/>
              <w:spacing w:line="288" w:lineRule="auto"/>
              <w:ind w:firstLine="0" w:firstLineChars="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73" w:type="dxa"/>
            <w:vAlign w:val="center"/>
          </w:tcPr>
          <w:p>
            <w:pPr>
              <w:ind w:firstLine="0" w:firstLineChars="0"/>
              <w:jc w:val="center"/>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1</w:t>
            </w:r>
          </w:p>
        </w:tc>
        <w:tc>
          <w:tcPr>
            <w:tcW w:w="3226" w:type="dxa"/>
            <w:vAlign w:val="center"/>
          </w:tcPr>
          <w:p>
            <w:pPr>
              <w:ind w:firstLine="0" w:firstLineChars="0"/>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奥的斯电梯有限公司佛山分公司</w:t>
            </w:r>
          </w:p>
        </w:tc>
        <w:tc>
          <w:tcPr>
            <w:tcW w:w="5049" w:type="dxa"/>
            <w:vAlign w:val="center"/>
          </w:tcPr>
          <w:p>
            <w:pPr>
              <w:ind w:firstLine="0" w:firstLineChars="0"/>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电梯安装、维修保养实习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73" w:type="dxa"/>
            <w:vAlign w:val="center"/>
          </w:tcPr>
          <w:p>
            <w:pPr>
              <w:ind w:firstLine="0" w:firstLineChars="0"/>
              <w:jc w:val="center"/>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2</w:t>
            </w:r>
          </w:p>
        </w:tc>
        <w:tc>
          <w:tcPr>
            <w:tcW w:w="3226" w:type="dxa"/>
            <w:vAlign w:val="center"/>
          </w:tcPr>
          <w:p>
            <w:pPr>
              <w:ind w:firstLine="0" w:firstLineChars="0"/>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美的集团菱王电梯有限公司</w:t>
            </w:r>
          </w:p>
        </w:tc>
        <w:tc>
          <w:tcPr>
            <w:tcW w:w="5049" w:type="dxa"/>
            <w:vAlign w:val="center"/>
          </w:tcPr>
          <w:p>
            <w:pPr>
              <w:spacing w:line="240" w:lineRule="auto"/>
              <w:ind w:firstLine="0" w:firstLineChars="0"/>
              <w:rPr>
                <w:rFonts w:cs="Times New Roman"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电梯安装、维修保养实习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73" w:type="dxa"/>
            <w:vAlign w:val="center"/>
          </w:tcPr>
          <w:p>
            <w:pPr>
              <w:ind w:firstLine="0" w:firstLineChars="0"/>
              <w:jc w:val="center"/>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3</w:t>
            </w:r>
          </w:p>
        </w:tc>
        <w:tc>
          <w:tcPr>
            <w:tcW w:w="3226" w:type="dxa"/>
            <w:vAlign w:val="center"/>
          </w:tcPr>
          <w:p>
            <w:pPr>
              <w:ind w:firstLine="0" w:firstLineChars="0"/>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日立电梯有限公司佛山分公司</w:t>
            </w:r>
          </w:p>
        </w:tc>
        <w:tc>
          <w:tcPr>
            <w:tcW w:w="5049" w:type="dxa"/>
            <w:vAlign w:val="center"/>
          </w:tcPr>
          <w:p>
            <w:pPr>
              <w:spacing w:line="240" w:lineRule="auto"/>
              <w:ind w:firstLine="0" w:firstLineChars="0"/>
              <w:rPr>
                <w:rFonts w:cs="Times New Roman"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电梯安装、维修保养实习</w:t>
            </w:r>
          </w:p>
        </w:tc>
      </w:tr>
    </w:tbl>
    <w:p>
      <w:pPr>
        <w:ind w:firstLine="480"/>
        <w:rPr>
          <w:rFonts w:asciiTheme="minorEastAsia" w:hAnsiTheme="minorEastAsia" w:eastAsiaTheme="minorEastAsia"/>
          <w:szCs w:val="24"/>
        </w:rPr>
      </w:pPr>
    </w:p>
    <w:p>
      <w:pPr>
        <w:ind w:firstLine="482"/>
        <w:rPr>
          <w:rFonts w:asciiTheme="minorEastAsia" w:hAnsiTheme="minorEastAsia" w:eastAsiaTheme="minorEastAsia"/>
          <w:b/>
          <w:szCs w:val="24"/>
        </w:rPr>
      </w:pPr>
      <w:r>
        <w:rPr>
          <w:rFonts w:hint="eastAsia" w:asciiTheme="minorEastAsia" w:hAnsiTheme="minorEastAsia" w:eastAsiaTheme="minorEastAsia"/>
          <w:b/>
          <w:szCs w:val="24"/>
        </w:rPr>
        <w:t>（三）教学资源</w:t>
      </w:r>
    </w:p>
    <w:p>
      <w:pPr>
        <w:ind w:firstLine="480"/>
        <w:rPr>
          <w:rFonts w:asciiTheme="minorEastAsia" w:hAnsiTheme="minorEastAsia" w:eastAsiaTheme="minorEastAsia"/>
          <w:szCs w:val="24"/>
        </w:rPr>
      </w:pPr>
      <w:r>
        <w:rPr>
          <w:rFonts w:asciiTheme="minorEastAsia" w:hAnsiTheme="minorEastAsia" w:eastAsiaTheme="minorEastAsia"/>
          <w:szCs w:val="24"/>
        </w:rPr>
        <w:t>1</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教材选用：</w:t>
      </w:r>
    </w:p>
    <w:p>
      <w:pPr>
        <w:ind w:firstLine="480"/>
        <w:rPr>
          <w:rFonts w:asciiTheme="minorEastAsia" w:hAnsiTheme="minorEastAsia" w:eastAsiaTheme="minorEastAsia"/>
          <w:szCs w:val="24"/>
        </w:rPr>
      </w:pPr>
      <w:r>
        <w:rPr>
          <w:rFonts w:hint="eastAsia" w:asciiTheme="minorEastAsia" w:hAnsiTheme="minorEastAsia" w:eastAsiaTheme="minorEastAsia"/>
          <w:szCs w:val="24"/>
        </w:rPr>
        <w:t>建议选用全国职业教育“十三五”或“十四五”规划教材，教材内容以项目式、任务式等组织的示范教材。</w:t>
      </w:r>
    </w:p>
    <w:p>
      <w:pPr>
        <w:ind w:firstLine="480"/>
        <w:rPr>
          <w:rFonts w:asciiTheme="minorEastAsia" w:hAnsiTheme="minorEastAsia" w:eastAsiaTheme="minorEastAsia"/>
          <w:szCs w:val="24"/>
        </w:rPr>
      </w:pPr>
      <w:r>
        <w:rPr>
          <w:rFonts w:asciiTheme="minorEastAsia" w:hAnsiTheme="minorEastAsia" w:eastAsiaTheme="minorEastAsia"/>
          <w:szCs w:val="24"/>
        </w:rPr>
        <w:t>2</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教学资源：</w:t>
      </w:r>
    </w:p>
    <w:p>
      <w:pPr>
        <w:ind w:firstLine="480"/>
        <w:rPr>
          <w:rFonts w:asciiTheme="minorEastAsia" w:hAnsiTheme="minorEastAsia" w:eastAsiaTheme="minorEastAsia"/>
          <w:szCs w:val="24"/>
        </w:rPr>
      </w:pPr>
      <w:r>
        <w:rPr>
          <w:rFonts w:hint="eastAsia" w:asciiTheme="minorEastAsia" w:hAnsiTheme="minorEastAsia" w:eastAsiaTheme="minorEastAsia"/>
          <w:szCs w:val="24"/>
        </w:rPr>
        <w:t>根据课程目标、学生实际以及课程的理论性、专业性和科学性等特点，本专业对应的相关课程的教学应该建设由文字教材、多媒体课件、虚拟实训、工业案例和网络教材等多种媒体教学资源为一体的网络资源教学库，以文字教材为中心，辅之以多种多样的学习方式，提供内涵不同，形式多样的学习支持服务，共同完成教学任务，达成教学目标。</w:t>
      </w:r>
    </w:p>
    <w:p>
      <w:pPr>
        <w:ind w:firstLine="482"/>
        <w:rPr>
          <w:rFonts w:asciiTheme="minorEastAsia" w:hAnsiTheme="minorEastAsia" w:eastAsiaTheme="minorEastAsia"/>
          <w:b/>
          <w:szCs w:val="24"/>
        </w:rPr>
      </w:pPr>
      <w:r>
        <w:rPr>
          <w:rFonts w:hint="eastAsia" w:asciiTheme="minorEastAsia" w:hAnsiTheme="minorEastAsia" w:eastAsiaTheme="minorEastAsia"/>
          <w:b/>
          <w:szCs w:val="24"/>
        </w:rPr>
        <w:t>（四）教学方法</w:t>
      </w:r>
    </w:p>
    <w:p>
      <w:pPr>
        <w:ind w:firstLine="480"/>
        <w:rPr>
          <w:rFonts w:asciiTheme="minorEastAsia" w:hAnsiTheme="minorEastAsia" w:eastAsiaTheme="minorEastAsia"/>
          <w:szCs w:val="24"/>
        </w:rPr>
      </w:pPr>
      <w:r>
        <w:rPr>
          <w:rFonts w:hint="eastAsia" w:asciiTheme="minorEastAsia" w:hAnsiTheme="minorEastAsia" w:eastAsiaTheme="minorEastAsia"/>
          <w:szCs w:val="24"/>
        </w:rPr>
        <w:t>在教学方法上，建议采用项目式教学、案例式教学、任务驱动、工作页等教学方法，把所学的内容通过项目形式，明确学习任务，结合信息化技术手段（微课、职教高地平台、超星泛雅教学平台）、仿真软件等信息化教学手段，通过学生小组合作讨论、翻转课堂的学习形式，以学生为中心，突出教学做一体化。</w:t>
      </w:r>
    </w:p>
    <w:p>
      <w:pPr>
        <w:ind w:firstLine="482"/>
        <w:rPr>
          <w:rFonts w:asciiTheme="minorEastAsia" w:hAnsiTheme="minorEastAsia" w:eastAsiaTheme="minorEastAsia"/>
          <w:b/>
          <w:szCs w:val="24"/>
        </w:rPr>
      </w:pPr>
      <w:r>
        <w:rPr>
          <w:rFonts w:hint="eastAsia" w:asciiTheme="minorEastAsia" w:hAnsiTheme="minorEastAsia" w:eastAsiaTheme="minorEastAsia"/>
          <w:b/>
          <w:szCs w:val="24"/>
        </w:rPr>
        <w:t>（五）学习评价</w:t>
      </w:r>
    </w:p>
    <w:p>
      <w:pPr>
        <w:ind w:firstLine="480"/>
        <w:rPr>
          <w:rFonts w:asciiTheme="minorEastAsia" w:hAnsiTheme="minorEastAsia" w:eastAsiaTheme="minorEastAsia"/>
          <w:szCs w:val="24"/>
        </w:rPr>
      </w:pPr>
      <w:r>
        <w:rPr>
          <w:rFonts w:hint="eastAsia" w:asciiTheme="minorEastAsia" w:hAnsiTheme="minorEastAsia" w:eastAsiaTheme="minorEastAsia"/>
          <w:szCs w:val="24"/>
        </w:rPr>
        <w:t>在评价方式上，对学生采取形成性评价（侧重于教学过程）和终结性评价（侧重于教学结果）相结合的方式进行。形成性评价主要有单元检测成绩、上课出勤、课堂表现（遵守纪律情况、参与讨论情况、提出问题或回答问题情况）、课后作业、实训手册等等。终结性评价主要是期末考试。终结性评价期末考核依据科目不同，分别采取考查和考试模式。学生学习的形成性评价占综合评价分数60%、终结性评价期末考核占综合评价分数40%。若综合评价分数小于60分要进行学科补考。学校对学生的成绩实行学分制管理、有专门的学分管理系统，根据学生发展的需要和学校实际情况，将学分分为基础学分和奖励学分两部分。</w:t>
      </w:r>
    </w:p>
    <w:p>
      <w:pPr>
        <w:ind w:firstLine="482"/>
        <w:rPr>
          <w:rFonts w:asciiTheme="minorEastAsia" w:hAnsiTheme="minorEastAsia" w:eastAsiaTheme="minorEastAsia"/>
          <w:b/>
          <w:szCs w:val="24"/>
        </w:rPr>
      </w:pPr>
      <w:r>
        <w:rPr>
          <w:rFonts w:hint="eastAsia" w:asciiTheme="minorEastAsia" w:hAnsiTheme="minorEastAsia" w:eastAsiaTheme="minorEastAsia"/>
          <w:b/>
          <w:szCs w:val="24"/>
        </w:rPr>
        <w:t>（六）质量管理</w:t>
      </w:r>
    </w:p>
    <w:p>
      <w:pPr>
        <w:ind w:firstLine="48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1</w:t>
      </w:r>
      <w:r>
        <w:rPr>
          <w:rFonts w:hint="eastAsia" w:asciiTheme="minorEastAsia" w:hAnsiTheme="minorEastAsia" w:eastAsiaTheme="minorEastAsia"/>
          <w:color w:val="000000"/>
          <w:szCs w:val="24"/>
          <w:lang w:eastAsia="zh-CN"/>
        </w:rPr>
        <w:t>.</w:t>
      </w:r>
      <w:r>
        <w:rPr>
          <w:rFonts w:hint="eastAsia" w:asciiTheme="minorEastAsia" w:hAnsiTheme="minorEastAsia" w:eastAsiaTheme="minorEastAsia"/>
          <w:color w:val="000000"/>
          <w:szCs w:val="24"/>
        </w:rPr>
        <w:t>认真执行教育部《中等职业学校公共基础课程方案》和专业《教学进程安排表》，使用新课标国家规划新教材。若有专业课程变化，做好逐级申请与审核，经过教学副校长批准后才可执行。</w:t>
      </w:r>
    </w:p>
    <w:p>
      <w:pPr>
        <w:ind w:firstLine="48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2</w:t>
      </w:r>
      <w:r>
        <w:rPr>
          <w:rFonts w:hint="eastAsia" w:asciiTheme="minorEastAsia" w:hAnsiTheme="minorEastAsia" w:eastAsiaTheme="minorEastAsia"/>
          <w:color w:val="000000"/>
          <w:szCs w:val="24"/>
          <w:lang w:eastAsia="zh-CN"/>
        </w:rPr>
        <w:t>.</w:t>
      </w:r>
      <w:r>
        <w:rPr>
          <w:rFonts w:hint="eastAsia" w:asciiTheme="minorEastAsia" w:hAnsiTheme="minorEastAsia" w:eastAsiaTheme="minorEastAsia"/>
          <w:color w:val="000000"/>
          <w:szCs w:val="24"/>
        </w:rPr>
        <w:t>做好教学常规工作，从授课计划、备课、上课、作业、实训、评价（考试、考查、补考）等环节出发，提升学生文化基本素质、专业认知和基本专业技能。</w:t>
      </w:r>
    </w:p>
    <w:p>
      <w:pPr>
        <w:ind w:firstLine="48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3</w:t>
      </w:r>
      <w:r>
        <w:rPr>
          <w:rFonts w:hint="eastAsia" w:asciiTheme="minorEastAsia" w:hAnsiTheme="minorEastAsia" w:eastAsiaTheme="minorEastAsia"/>
          <w:color w:val="000000"/>
          <w:szCs w:val="24"/>
          <w:lang w:eastAsia="zh-CN"/>
        </w:rPr>
        <w:t>.</w:t>
      </w:r>
      <w:r>
        <w:rPr>
          <w:rFonts w:hint="eastAsia" w:asciiTheme="minorEastAsia" w:hAnsiTheme="minorEastAsia" w:eastAsiaTheme="minorEastAsia"/>
          <w:color w:val="000000"/>
          <w:szCs w:val="24"/>
        </w:rPr>
        <w:t>以人为本，注重学习过程的管理与评价。学校行政每天巡堂、记录和及时反馈，每学期组织两次学生座谈会进行学情调查，每学期末学生在评教系统上对各任科老师进行评价，对学生评价时，规定学生平时成绩占60%。</w:t>
      </w:r>
    </w:p>
    <w:p>
      <w:pPr>
        <w:ind w:firstLine="48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4</w:t>
      </w:r>
      <w:r>
        <w:rPr>
          <w:rFonts w:hint="eastAsia" w:asciiTheme="minorEastAsia" w:hAnsiTheme="minorEastAsia" w:eastAsiaTheme="minorEastAsia"/>
          <w:color w:val="000000"/>
          <w:szCs w:val="24"/>
          <w:lang w:eastAsia="zh-CN"/>
        </w:rPr>
        <w:t>.</w:t>
      </w:r>
      <w:r>
        <w:rPr>
          <w:rFonts w:hint="eastAsia" w:asciiTheme="minorEastAsia" w:hAnsiTheme="minorEastAsia" w:eastAsiaTheme="minorEastAsia"/>
          <w:color w:val="000000"/>
          <w:szCs w:val="24"/>
        </w:rPr>
        <w:t>结合专业特点做好考证工作，并把考证课程融入教学进程安排表中，为学生打通升学之路。</w:t>
      </w:r>
    </w:p>
    <w:p>
      <w:pPr>
        <w:ind w:firstLine="48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5</w:t>
      </w:r>
      <w:r>
        <w:rPr>
          <w:rFonts w:hint="eastAsia" w:asciiTheme="minorEastAsia" w:hAnsiTheme="minorEastAsia" w:eastAsiaTheme="minorEastAsia"/>
          <w:color w:val="000000"/>
          <w:szCs w:val="24"/>
          <w:lang w:eastAsia="zh-CN"/>
        </w:rPr>
        <w:t>.</w:t>
      </w:r>
      <w:r>
        <w:rPr>
          <w:rFonts w:hint="eastAsia" w:asciiTheme="minorEastAsia" w:hAnsiTheme="minorEastAsia" w:eastAsiaTheme="minorEastAsia"/>
          <w:color w:val="000000"/>
          <w:szCs w:val="24"/>
        </w:rPr>
        <w:t>加强与行业和企业对接，做好学生岗位实习跟踪管理工作，实习结束后要完成实习报告、实习鉴定等工作。</w:t>
      </w:r>
    </w:p>
    <w:p>
      <w:pPr>
        <w:pStyle w:val="3"/>
        <w:ind w:firstLine="482"/>
        <w:rPr>
          <w:sz w:val="24"/>
          <w:szCs w:val="24"/>
        </w:rPr>
      </w:pPr>
      <w:r>
        <w:rPr>
          <w:rFonts w:hint="eastAsia"/>
          <w:sz w:val="24"/>
          <w:szCs w:val="24"/>
        </w:rPr>
        <w:t>九、毕业要求</w:t>
      </w:r>
    </w:p>
    <w:p>
      <w:pPr>
        <w:ind w:firstLine="480"/>
        <w:rPr>
          <w:rFonts w:asciiTheme="minorEastAsia" w:hAnsiTheme="minorEastAsia" w:eastAsiaTheme="minorEastAsia"/>
          <w:szCs w:val="24"/>
        </w:rPr>
      </w:pPr>
      <w:r>
        <w:rPr>
          <w:rFonts w:hint="eastAsia" w:asciiTheme="minorEastAsia" w:hAnsiTheme="minorEastAsia" w:eastAsiaTheme="minorEastAsia"/>
          <w:szCs w:val="24"/>
        </w:rPr>
        <w:t>通过中职三年学习，学生学完专业人才培养方案所规定的课程，完成学校规定的教学活动，掌握专业的基本知识和基本技能，具备中职基本的文化素养和专业素养。根据《佛山市南海区第一职业技术学校学分制管理办法》，获得不低于175个学分，在德、智、体、美、劳方面考核合格，准予毕业，发给毕业证书。</w:t>
      </w:r>
    </w:p>
    <w:p>
      <w:pPr>
        <w:pStyle w:val="3"/>
        <w:ind w:firstLine="482"/>
        <w:rPr>
          <w:sz w:val="24"/>
          <w:szCs w:val="24"/>
        </w:rPr>
      </w:pPr>
      <w:r>
        <w:rPr>
          <w:rFonts w:hint="eastAsia"/>
          <w:sz w:val="24"/>
          <w:szCs w:val="24"/>
        </w:rPr>
        <w:t>十、附录</w:t>
      </w:r>
    </w:p>
    <w:p>
      <w:pPr>
        <w:overflowPunct w:val="0"/>
        <w:adjustRightInd w:val="0"/>
        <w:ind w:firstLine="480"/>
        <w:rPr>
          <w:rFonts w:asciiTheme="minorEastAsia" w:hAnsiTheme="minorEastAsia" w:eastAsiaTheme="minorEastAsia"/>
          <w:szCs w:val="24"/>
        </w:rPr>
      </w:pPr>
      <w:r>
        <w:rPr>
          <w:rFonts w:hint="eastAsia" w:asciiTheme="minorEastAsia" w:hAnsiTheme="minorEastAsia" w:eastAsiaTheme="minorEastAsia"/>
          <w:szCs w:val="24"/>
        </w:rPr>
        <w:t>审批表、变更审批表（见附表）</w:t>
      </w:r>
    </w:p>
    <w:p>
      <w:pPr>
        <w:widowControl/>
        <w:spacing w:line="240" w:lineRule="auto"/>
        <w:ind w:firstLine="0" w:firstLineChars="0"/>
        <w:jc w:val="left"/>
        <w:rPr>
          <w:rFonts w:ascii="宋体" w:hAnsi="宋体"/>
          <w:sz w:val="32"/>
          <w:szCs w:val="32"/>
        </w:rPr>
      </w:pPr>
      <w:bookmarkStart w:id="35" w:name="_Toc26145_WPSOffice_Level1"/>
      <w:bookmarkStart w:id="36" w:name="_Toc23757_WPSOffice_Level1"/>
      <w:bookmarkStart w:id="37" w:name="_Toc32019_WPSOffice_Level1"/>
      <w:r>
        <w:rPr>
          <w:rFonts w:ascii="宋体" w:hAnsi="宋体"/>
          <w:sz w:val="32"/>
          <w:szCs w:val="32"/>
        </w:rPr>
        <w:br w:type="page"/>
      </w:r>
    </w:p>
    <w:bookmarkEnd w:id="35"/>
    <w:bookmarkEnd w:id="36"/>
    <w:bookmarkEnd w:id="37"/>
    <w:p>
      <w:pPr>
        <w:keepNext w:val="0"/>
        <w:keepLines w:val="0"/>
        <w:pageBreakBefore w:val="0"/>
        <w:widowControl w:val="0"/>
        <w:kinsoku/>
        <w:wordWrap/>
        <w:topLinePunct w:val="0"/>
        <w:autoSpaceDE/>
        <w:autoSpaceDN/>
        <w:bidi w:val="0"/>
        <w:adjustRightInd w:val="0"/>
        <w:snapToGrid w:val="0"/>
        <w:spacing w:line="360" w:lineRule="auto"/>
        <w:ind w:left="0" w:leftChars="0" w:firstLine="0" w:firstLineChars="0"/>
        <w:jc w:val="center"/>
        <w:textAlignment w:val="auto"/>
        <w:outlineLvl w:val="1"/>
        <w:rPr>
          <w:rFonts w:ascii="宋体" w:hAnsi="宋体" w:eastAsia="宋体" w:cs="宋体"/>
          <w:szCs w:val="32"/>
        </w:rPr>
      </w:pPr>
      <w:r>
        <w:rPr>
          <w:rFonts w:hint="eastAsia" w:ascii="宋体" w:hAnsi="宋体" w:eastAsia="宋体" w:cs="宋体"/>
          <w:sz w:val="28"/>
          <w:szCs w:val="28"/>
        </w:rPr>
        <w:t>佛山市南海区第一职业技术学校</w:t>
      </w:r>
    </w:p>
    <w:p>
      <w:pPr>
        <w:keepNext w:val="0"/>
        <w:keepLines w:val="0"/>
        <w:pageBreakBefore w:val="0"/>
        <w:widowControl w:val="0"/>
        <w:kinsoku/>
        <w:wordWrap/>
        <w:overflowPunct w:val="0"/>
        <w:topLinePunct w:val="0"/>
        <w:autoSpaceDE/>
        <w:autoSpaceDN/>
        <w:bidi w:val="0"/>
        <w:adjustRightInd w:val="0"/>
        <w:spacing w:line="360" w:lineRule="auto"/>
        <w:ind w:firstLine="0" w:firstLineChars="0"/>
        <w:jc w:val="center"/>
        <w:textAlignment w:val="auto"/>
        <w:outlineLvl w:val="0"/>
        <w:rPr>
          <w:rFonts w:asciiTheme="minorEastAsia" w:hAnsiTheme="minorEastAsia" w:cstheme="minorEastAsia"/>
          <w:sz w:val="28"/>
          <w:szCs w:val="28"/>
        </w:rPr>
      </w:pPr>
      <w:r>
        <w:rPr>
          <w:rFonts w:hint="eastAsia" w:ascii="宋体" w:hAnsi="宋体"/>
          <w:sz w:val="28"/>
          <w:szCs w:val="28"/>
        </w:rPr>
        <w:t>电梯安装与维修保养专业才培养方案审批表</w:t>
      </w:r>
    </w:p>
    <w:tbl>
      <w:tblPr>
        <w:tblStyle w:val="11"/>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14" w:type="dxa"/>
            <w:vAlign w:val="center"/>
          </w:tcPr>
          <w:p>
            <w:pPr>
              <w:spacing w:line="360" w:lineRule="auto"/>
              <w:rPr>
                <w:rFonts w:ascii="Calibri" w:hAnsi="Calibri" w:eastAsia="宋体" w:cs="宋体"/>
                <w:sz w:val="28"/>
              </w:rPr>
            </w:pPr>
            <w:r>
              <w:rPr>
                <w:rFonts w:hint="eastAsia" w:ascii="Calibri" w:hAnsi="Calibri" w:eastAsia="宋体" w:cs="宋体"/>
                <w:sz w:val="28"/>
              </w:rPr>
              <w:t>专业名称</w:t>
            </w:r>
          </w:p>
        </w:tc>
        <w:tc>
          <w:tcPr>
            <w:tcW w:w="6842" w:type="dxa"/>
            <w:vAlign w:val="center"/>
          </w:tcPr>
          <w:p>
            <w:pPr>
              <w:overflowPunct w:val="0"/>
              <w:adjustRightInd w:val="0"/>
              <w:spacing w:line="360" w:lineRule="auto"/>
              <w:ind w:firstLine="1960" w:firstLineChars="700"/>
              <w:outlineLvl w:val="0"/>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电梯安装与维修保养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2014" w:type="dxa"/>
            <w:vAlign w:val="center"/>
          </w:tcPr>
          <w:p>
            <w:pPr>
              <w:spacing w:line="360" w:lineRule="auto"/>
              <w:jc w:val="left"/>
              <w:rPr>
                <w:rFonts w:ascii="Calibri" w:hAnsi="Calibri" w:eastAsia="宋体" w:cs="宋体"/>
                <w:sz w:val="28"/>
              </w:rPr>
            </w:pPr>
            <w:r>
              <w:rPr>
                <w:rFonts w:hint="eastAsia" w:ascii="Calibri" w:hAnsi="Calibri" w:eastAsia="宋体" w:cs="宋体"/>
                <w:sz w:val="28"/>
              </w:rPr>
              <w:t>专业组修</w:t>
            </w:r>
          </w:p>
          <w:p>
            <w:pPr>
              <w:spacing w:line="360" w:lineRule="auto"/>
              <w:jc w:val="left"/>
              <w:rPr>
                <w:rFonts w:ascii="Calibri" w:hAnsi="Calibri" w:eastAsia="宋体" w:cs="宋体"/>
                <w:sz w:val="28"/>
              </w:rPr>
            </w:pPr>
            <w:r>
              <w:rPr>
                <w:rFonts w:hint="eastAsia" w:ascii="Calibri" w:hAnsi="Calibri" w:eastAsia="宋体" w:cs="宋体"/>
                <w:sz w:val="28"/>
              </w:rPr>
              <w:t>订意见</w:t>
            </w:r>
          </w:p>
        </w:tc>
        <w:tc>
          <w:tcPr>
            <w:tcW w:w="6842" w:type="dxa"/>
            <w:vAlign w:val="center"/>
          </w:tcPr>
          <w:p>
            <w:pPr>
              <w:spacing w:line="360" w:lineRule="auto"/>
              <w:ind w:firstLine="480" w:firstLineChars="200"/>
              <w:jc w:val="left"/>
              <w:rPr>
                <w:rFonts w:hint="eastAsia"/>
              </w:rPr>
            </w:pPr>
            <w:r>
              <w:rPr>
                <w:rFonts w:hint="eastAsia"/>
              </w:rPr>
              <w:t>依据《职业教育专业目录（2021年）》《国民经济行业分类（2019 年）》《中华人民共和国职业分类大典（2015年）》《56项新职业》文件及电梯维修保养职业技能等级标准，根据我校所处区域经济社会发展需求与办学特色，修订了本专业2022年人才培养方案。修订内容主要有“职业面向”就业岗位情况表、“培养目标与培养规格”部分表述等。</w:t>
            </w:r>
          </w:p>
          <w:p>
            <w:pPr>
              <w:spacing w:line="360" w:lineRule="auto"/>
              <w:ind w:left="0" w:leftChars="0" w:firstLine="0" w:firstLineChars="0"/>
              <w:jc w:val="left"/>
              <w:rPr>
                <w:rFonts w:hint="eastAsia"/>
              </w:rPr>
            </w:pPr>
            <w:r>
              <w:drawing>
                <wp:anchor distT="0" distB="0" distL="114300" distR="114300" simplePos="0" relativeHeight="251665408" behindDoc="1" locked="0" layoutInCell="1" allowOverlap="1">
                  <wp:simplePos x="0" y="0"/>
                  <wp:positionH relativeFrom="column">
                    <wp:posOffset>1594485</wp:posOffset>
                  </wp:positionH>
                  <wp:positionV relativeFrom="paragraph">
                    <wp:posOffset>252095</wp:posOffset>
                  </wp:positionV>
                  <wp:extent cx="731520" cy="382905"/>
                  <wp:effectExtent l="0" t="0" r="0" b="1333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731520" cy="382905"/>
                          </a:xfrm>
                          <a:prstGeom prst="rect">
                            <a:avLst/>
                          </a:prstGeom>
                          <a:noFill/>
                          <a:ln>
                            <a:noFill/>
                          </a:ln>
                        </pic:spPr>
                      </pic:pic>
                    </a:graphicData>
                  </a:graphic>
                </wp:anchor>
              </w:drawing>
            </w:r>
          </w:p>
          <w:p>
            <w:pPr>
              <w:spacing w:line="360" w:lineRule="auto"/>
              <w:jc w:val="both"/>
              <w:rPr>
                <w:rFonts w:ascii="Calibri" w:hAnsi="Calibri" w:eastAsia="宋体" w:cs="宋体"/>
                <w:sz w:val="24"/>
              </w:rPr>
            </w:pPr>
            <w:r>
              <w:rPr>
                <w:rFonts w:hint="eastAsia" w:ascii="Calibri" w:hAnsi="Calibri" w:eastAsia="宋体" w:cs="宋体"/>
                <w:sz w:val="24"/>
                <w:szCs w:val="24"/>
              </w:rPr>
              <w:t>专业负责人签名：</w:t>
            </w:r>
            <w:r>
              <w:rPr>
                <w:rFonts w:hint="eastAsia" w:cs="宋体"/>
                <w:sz w:val="24"/>
                <w:szCs w:val="24"/>
                <w:lang w:val="en-US" w:eastAsia="zh-CN"/>
              </w:rPr>
              <w:t xml:space="preserve">               </w:t>
            </w:r>
            <w:r>
              <w:rPr>
                <w:rFonts w:hint="eastAsia" w:ascii="Calibri" w:hAnsi="Calibri" w:eastAsia="宋体" w:cs="宋体"/>
                <w:sz w:val="24"/>
                <w:szCs w:val="24"/>
              </w:rPr>
              <w:t xml:space="preserve">  </w:t>
            </w:r>
            <w:r>
              <w:rPr>
                <w:rFonts w:ascii="Calibri" w:hAnsi="Calibri" w:eastAsia="Calibri" w:cs="Calibri"/>
                <w:spacing w:val="1"/>
                <w:sz w:val="24"/>
                <w:szCs w:val="24"/>
              </w:rPr>
              <w:t>20</w:t>
            </w:r>
            <w:r>
              <w:rPr>
                <w:rFonts w:ascii="Calibri" w:hAnsi="Calibri" w:eastAsia="Calibri" w:cs="Calibri"/>
                <w:sz w:val="24"/>
                <w:szCs w:val="24"/>
              </w:rPr>
              <w:t>2</w:t>
            </w:r>
            <w:r>
              <w:rPr>
                <w:rFonts w:hint="eastAsia" w:ascii="Calibri" w:hAnsi="Calibri" w:eastAsia="宋体" w:cs="Calibri"/>
                <w:sz w:val="24"/>
                <w:szCs w:val="24"/>
                <w:lang w:val="en-US" w:eastAsia="zh-CN"/>
              </w:rPr>
              <w:t>2</w:t>
            </w:r>
            <w:r>
              <w:rPr>
                <w:rFonts w:ascii="Calibri" w:hAnsi="Calibri" w:eastAsia="Calibri" w:cs="Calibri"/>
                <w:sz w:val="24"/>
                <w:szCs w:val="24"/>
              </w:rPr>
              <w:t xml:space="preserve"> </w:t>
            </w:r>
            <w:r>
              <w:rPr>
                <w:rFonts w:ascii="宋体" w:hAnsi="宋体" w:eastAsia="宋体" w:cs="宋体"/>
                <w:sz w:val="24"/>
                <w:szCs w:val="24"/>
              </w:rPr>
              <w:t xml:space="preserve">年 </w:t>
            </w:r>
            <w:r>
              <w:rPr>
                <w:rFonts w:ascii="Calibri" w:hAnsi="Calibri" w:eastAsia="Calibri" w:cs="Calibri"/>
                <w:sz w:val="24"/>
                <w:szCs w:val="24"/>
              </w:rPr>
              <w:t xml:space="preserve">7 </w:t>
            </w:r>
            <w:r>
              <w:rPr>
                <w:rFonts w:ascii="宋体" w:hAnsi="宋体" w:eastAsia="宋体" w:cs="宋体"/>
                <w:sz w:val="24"/>
                <w:szCs w:val="24"/>
              </w:rPr>
              <w:t xml:space="preserve">月 </w:t>
            </w:r>
            <w:r>
              <w:rPr>
                <w:rFonts w:ascii="Calibri" w:hAnsi="Calibri" w:eastAsia="Calibri" w:cs="Calibri"/>
                <w:sz w:val="24"/>
                <w:szCs w:val="24"/>
              </w:rPr>
              <w:t xml:space="preserve">5 </w:t>
            </w:r>
            <w:r>
              <w:rPr>
                <w:rFonts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4" w:type="dxa"/>
            <w:vAlign w:val="center"/>
          </w:tcPr>
          <w:p>
            <w:pPr>
              <w:spacing w:line="440" w:lineRule="exact"/>
              <w:rPr>
                <w:rFonts w:ascii="Calibri" w:hAnsi="Calibri" w:eastAsia="宋体" w:cs="宋体"/>
                <w:sz w:val="28"/>
              </w:rPr>
            </w:pPr>
            <w:r>
              <w:rPr>
                <w:rFonts w:hint="eastAsia" w:ascii="Calibri" w:hAnsi="Calibri" w:eastAsia="宋体" w:cs="宋体"/>
                <w:sz w:val="28"/>
              </w:rPr>
              <w:t>教学部门</w:t>
            </w:r>
          </w:p>
          <w:p>
            <w:pPr>
              <w:spacing w:line="440" w:lineRule="exact"/>
              <w:rPr>
                <w:rFonts w:ascii="Calibri" w:hAnsi="Calibri" w:eastAsia="宋体" w:cs="宋体"/>
                <w:sz w:val="28"/>
              </w:rPr>
            </w:pPr>
            <w:r>
              <w:rPr>
                <w:rFonts w:hint="eastAsia" w:ascii="Calibri" w:hAnsi="Calibri" w:eastAsia="宋体" w:cs="宋体"/>
                <w:sz w:val="28"/>
              </w:rPr>
              <w:t>意见</w:t>
            </w:r>
          </w:p>
        </w:tc>
        <w:tc>
          <w:tcPr>
            <w:tcW w:w="6842" w:type="dxa"/>
            <w:vAlign w:val="center"/>
          </w:tcPr>
          <w:p>
            <w:pPr>
              <w:spacing w:before="174" w:line="222" w:lineRule="auto"/>
              <w:ind w:firstLine="3360" w:firstLineChars="1400"/>
              <w:rPr>
                <w:rFonts w:ascii="宋体" w:hAnsi="宋体" w:eastAsia="宋体" w:cs="宋体"/>
                <w:sz w:val="28"/>
                <w:szCs w:val="28"/>
              </w:rPr>
            </w:pPr>
            <w:r>
              <w:drawing>
                <wp:anchor distT="0" distB="0" distL="0" distR="0" simplePos="0" relativeHeight="251662336" behindDoc="1" locked="0" layoutInCell="1" allowOverlap="1">
                  <wp:simplePos x="0" y="0"/>
                  <wp:positionH relativeFrom="column">
                    <wp:posOffset>135890</wp:posOffset>
                  </wp:positionH>
                  <wp:positionV relativeFrom="paragraph">
                    <wp:posOffset>394970</wp:posOffset>
                  </wp:positionV>
                  <wp:extent cx="2371725" cy="1447800"/>
                  <wp:effectExtent l="0" t="0" r="5715"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5"/>
                          <a:stretch>
                            <a:fillRect/>
                          </a:stretch>
                        </pic:blipFill>
                        <pic:spPr>
                          <a:xfrm>
                            <a:off x="0" y="0"/>
                            <a:ext cx="2371725" cy="1447800"/>
                          </a:xfrm>
                          <a:prstGeom prst="rect">
                            <a:avLst/>
                          </a:prstGeom>
                        </pic:spPr>
                      </pic:pic>
                    </a:graphicData>
                  </a:graphic>
                </wp:anchor>
              </w:drawing>
            </w:r>
            <w:r>
              <w:rPr>
                <w:rFonts w:ascii="宋体" w:hAnsi="宋体" w:eastAsia="宋体" w:cs="宋体"/>
                <w:spacing w:val="-6"/>
                <w:sz w:val="28"/>
                <w:szCs w:val="28"/>
              </w:rPr>
              <w:t>同</w:t>
            </w:r>
            <w:r>
              <w:rPr>
                <w:rFonts w:ascii="宋体" w:hAnsi="宋体" w:eastAsia="宋体" w:cs="宋体"/>
                <w:spacing w:val="-4"/>
                <w:sz w:val="28"/>
                <w:szCs w:val="28"/>
              </w:rPr>
              <w:t xml:space="preserve">   意</w:t>
            </w:r>
          </w:p>
          <w:p>
            <w:pPr>
              <w:spacing w:line="256" w:lineRule="auto"/>
              <w:rPr>
                <w:rFonts w:ascii="Arial"/>
                <w:sz w:val="21"/>
              </w:rPr>
            </w:pPr>
          </w:p>
          <w:p>
            <w:pPr>
              <w:spacing w:line="256" w:lineRule="auto"/>
              <w:rPr>
                <w:rFonts w:ascii="Arial"/>
                <w:sz w:val="21"/>
              </w:rPr>
            </w:pPr>
          </w:p>
          <w:p>
            <w:pPr>
              <w:spacing w:before="78" w:line="220" w:lineRule="auto"/>
              <w:ind w:right="85" w:firstLine="4408" w:firstLineChars="1900"/>
              <w:jc w:val="both"/>
              <w:rPr>
                <w:rFonts w:ascii="宋体" w:hAnsi="宋体" w:eastAsia="宋体" w:cs="宋体"/>
                <w:sz w:val="24"/>
                <w:szCs w:val="24"/>
              </w:rPr>
            </w:pPr>
            <w:r>
              <w:rPr>
                <w:rFonts w:ascii="Calibri" w:hAnsi="Calibri" w:eastAsia="Calibri" w:cs="Calibri"/>
                <w:spacing w:val="-4"/>
                <w:sz w:val="24"/>
                <w:szCs w:val="24"/>
              </w:rPr>
              <w:t>202</w:t>
            </w:r>
            <w:r>
              <w:rPr>
                <w:rFonts w:hint="eastAsia" w:ascii="Calibri" w:hAnsi="Calibri" w:eastAsia="宋体" w:cs="Calibri"/>
                <w:spacing w:val="-4"/>
                <w:sz w:val="24"/>
                <w:szCs w:val="24"/>
                <w:lang w:val="en-US" w:eastAsia="zh-CN"/>
              </w:rPr>
              <w:t>2</w:t>
            </w:r>
            <w:r>
              <w:rPr>
                <w:rFonts w:ascii="Calibri" w:hAnsi="Calibri" w:eastAsia="Calibri" w:cs="Calibri"/>
                <w:spacing w:val="-4"/>
                <w:sz w:val="24"/>
                <w:szCs w:val="24"/>
              </w:rPr>
              <w:t xml:space="preserve"> </w:t>
            </w:r>
            <w:r>
              <w:rPr>
                <w:rFonts w:ascii="宋体" w:hAnsi="宋体" w:eastAsia="宋体" w:cs="宋体"/>
                <w:spacing w:val="-4"/>
                <w:sz w:val="24"/>
                <w:szCs w:val="24"/>
              </w:rPr>
              <w:t xml:space="preserve">年 </w:t>
            </w:r>
            <w:r>
              <w:rPr>
                <w:rFonts w:ascii="Calibri" w:hAnsi="Calibri" w:eastAsia="Calibri" w:cs="Calibri"/>
                <w:spacing w:val="-4"/>
                <w:sz w:val="24"/>
                <w:szCs w:val="24"/>
              </w:rPr>
              <w:t xml:space="preserve">7 </w:t>
            </w:r>
            <w:r>
              <w:rPr>
                <w:rFonts w:ascii="宋体" w:hAnsi="宋体" w:eastAsia="宋体" w:cs="宋体"/>
                <w:spacing w:val="-4"/>
                <w:sz w:val="24"/>
                <w:szCs w:val="24"/>
              </w:rPr>
              <w:t xml:space="preserve">月 </w:t>
            </w:r>
            <w:r>
              <w:rPr>
                <w:rFonts w:ascii="Calibri" w:hAnsi="Calibri" w:eastAsia="Calibri" w:cs="Calibri"/>
                <w:spacing w:val="-4"/>
                <w:sz w:val="24"/>
                <w:szCs w:val="24"/>
              </w:rPr>
              <w:t xml:space="preserve">5  </w:t>
            </w:r>
            <w:r>
              <w:rPr>
                <w:rFonts w:ascii="宋体" w:hAnsi="宋体" w:eastAsia="宋体" w:cs="宋体"/>
                <w:spacing w:val="-4"/>
                <w:sz w:val="24"/>
                <w:szCs w:val="24"/>
              </w:rPr>
              <w:t>日</w:t>
            </w:r>
          </w:p>
          <w:p>
            <w:pPr>
              <w:spacing w:line="284" w:lineRule="auto"/>
              <w:rPr>
                <w:rFonts w:ascii="Arial"/>
                <w:sz w:val="21"/>
              </w:rPr>
            </w:pPr>
          </w:p>
          <w:p>
            <w:pPr>
              <w:spacing w:line="360" w:lineRule="auto"/>
              <w:ind w:firstLine="4560" w:firstLineChars="1900"/>
              <w:jc w:val="both"/>
              <w:rPr>
                <w:rFonts w:ascii="Calibri" w:hAnsi="Calibri" w:eastAsia="宋体" w:cs="宋体"/>
                <w:sz w:val="24"/>
              </w:rPr>
            </w:pPr>
            <w:r>
              <w:drawing>
                <wp:anchor distT="0" distB="0" distL="0" distR="0" simplePos="0" relativeHeight="251663360" behindDoc="1" locked="0" layoutInCell="1" allowOverlap="1">
                  <wp:simplePos x="0" y="0"/>
                  <wp:positionH relativeFrom="column">
                    <wp:posOffset>2211705</wp:posOffset>
                  </wp:positionH>
                  <wp:positionV relativeFrom="paragraph">
                    <wp:posOffset>274955</wp:posOffset>
                  </wp:positionV>
                  <wp:extent cx="1941195" cy="1828165"/>
                  <wp:effectExtent l="0" t="0" r="9525" b="635"/>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6"/>
                          <a:stretch>
                            <a:fillRect/>
                          </a:stretch>
                        </pic:blipFill>
                        <pic:spPr>
                          <a:xfrm>
                            <a:off x="0" y="0"/>
                            <a:ext cx="1941195" cy="1828165"/>
                          </a:xfrm>
                          <a:prstGeom prst="rect">
                            <a:avLst/>
                          </a:prstGeom>
                        </pic:spPr>
                      </pic:pic>
                    </a:graphicData>
                  </a:graphic>
                </wp:anchor>
              </w:drawing>
            </w:r>
            <w:r>
              <w:rPr>
                <w:rFonts w:ascii="Calibri" w:hAnsi="Calibri" w:eastAsia="Calibri" w:cs="Calibri"/>
                <w:spacing w:val="-3"/>
                <w:sz w:val="24"/>
                <w:szCs w:val="24"/>
              </w:rPr>
              <w:t>202</w:t>
            </w:r>
            <w:r>
              <w:rPr>
                <w:rFonts w:hint="eastAsia" w:ascii="Calibri" w:hAnsi="Calibri" w:eastAsia="宋体" w:cs="Calibri"/>
                <w:spacing w:val="-3"/>
                <w:sz w:val="24"/>
                <w:szCs w:val="24"/>
                <w:lang w:val="en-US" w:eastAsia="zh-CN"/>
              </w:rPr>
              <w:t>2</w:t>
            </w:r>
            <w:r>
              <w:rPr>
                <w:rFonts w:ascii="Calibri" w:hAnsi="Calibri" w:eastAsia="Calibri" w:cs="Calibri"/>
                <w:spacing w:val="-3"/>
                <w:sz w:val="24"/>
                <w:szCs w:val="24"/>
              </w:rPr>
              <w:t xml:space="preserve"> </w:t>
            </w:r>
            <w:r>
              <w:rPr>
                <w:rFonts w:ascii="宋体" w:hAnsi="宋体" w:eastAsia="宋体" w:cs="宋体"/>
                <w:spacing w:val="-3"/>
                <w:sz w:val="24"/>
                <w:szCs w:val="24"/>
              </w:rPr>
              <w:t xml:space="preserve">年 </w:t>
            </w:r>
            <w:r>
              <w:rPr>
                <w:rFonts w:ascii="Calibri" w:hAnsi="Calibri" w:eastAsia="Calibri" w:cs="Calibri"/>
                <w:spacing w:val="-3"/>
                <w:sz w:val="24"/>
                <w:szCs w:val="24"/>
              </w:rPr>
              <w:t xml:space="preserve">7 </w:t>
            </w:r>
            <w:r>
              <w:rPr>
                <w:rFonts w:ascii="宋体" w:hAnsi="宋体" w:eastAsia="宋体" w:cs="宋体"/>
                <w:spacing w:val="-3"/>
                <w:sz w:val="24"/>
                <w:szCs w:val="24"/>
              </w:rPr>
              <w:t xml:space="preserve">月 </w:t>
            </w:r>
            <w:r>
              <w:rPr>
                <w:rFonts w:ascii="Calibri" w:hAnsi="Calibri" w:eastAsia="Calibri" w:cs="Calibri"/>
                <w:spacing w:val="-3"/>
                <w:sz w:val="24"/>
                <w:szCs w:val="24"/>
              </w:rPr>
              <w:t xml:space="preserve">5 </w:t>
            </w:r>
            <w:r>
              <w:rPr>
                <w:rFonts w:ascii="宋体" w:hAnsi="宋体" w:eastAsia="宋体" w:cs="宋体"/>
                <w:spacing w:val="-3"/>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2014" w:type="dxa"/>
            <w:vAlign w:val="center"/>
          </w:tcPr>
          <w:p>
            <w:pPr>
              <w:spacing w:line="360" w:lineRule="auto"/>
              <w:jc w:val="left"/>
              <w:rPr>
                <w:rFonts w:ascii="Calibri" w:hAnsi="Calibri" w:eastAsia="宋体" w:cs="宋体"/>
                <w:sz w:val="28"/>
              </w:rPr>
            </w:pPr>
            <w:r>
              <w:rPr>
                <w:rFonts w:hint="eastAsia" w:ascii="Calibri" w:hAnsi="Calibri" w:eastAsia="宋体" w:cs="宋体"/>
                <w:sz w:val="28"/>
              </w:rPr>
              <w:t>学校党委   审批意见</w:t>
            </w:r>
          </w:p>
        </w:tc>
        <w:tc>
          <w:tcPr>
            <w:tcW w:w="6842" w:type="dxa"/>
            <w:vAlign w:val="center"/>
          </w:tcPr>
          <w:p>
            <w:pPr>
              <w:spacing w:line="360" w:lineRule="auto"/>
              <w:ind w:firstLine="560" w:firstLineChars="200"/>
              <w:jc w:val="center"/>
              <w:rPr>
                <w:rFonts w:ascii="Calibri" w:hAnsi="Calibri" w:eastAsia="宋体" w:cs="宋体"/>
                <w:sz w:val="28"/>
              </w:rPr>
            </w:pPr>
          </w:p>
          <w:p>
            <w:pPr>
              <w:spacing w:line="360" w:lineRule="auto"/>
              <w:ind w:right="-336" w:rightChars="-140"/>
              <w:rPr>
                <w:rFonts w:ascii="Calibri" w:hAnsi="Calibri" w:eastAsia="宋体" w:cs="宋体"/>
                <w:sz w:val="28"/>
              </w:rPr>
            </w:pPr>
            <w:r>
              <w:rPr>
                <w:rFonts w:hint="eastAsia" w:ascii="Calibri" w:hAnsi="Calibri" w:eastAsia="宋体" w:cs="宋体"/>
                <w:sz w:val="24"/>
              </w:rPr>
              <w:t>书记、校长签名：</w:t>
            </w:r>
            <w:r>
              <w:drawing>
                <wp:inline distT="0" distB="0" distL="0" distR="0">
                  <wp:extent cx="831215" cy="386080"/>
                  <wp:effectExtent l="0" t="0" r="6985" b="1016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7"/>
                          <a:stretch>
                            <a:fillRect/>
                          </a:stretch>
                        </pic:blipFill>
                        <pic:spPr>
                          <a:xfrm>
                            <a:off x="0" y="0"/>
                            <a:ext cx="831215" cy="386714"/>
                          </a:xfrm>
                          <a:prstGeom prst="rect">
                            <a:avLst/>
                          </a:prstGeom>
                        </pic:spPr>
                      </pic:pic>
                    </a:graphicData>
                  </a:graphic>
                </wp:inline>
              </w:drawing>
            </w:r>
            <w:r>
              <w:rPr>
                <w:rFonts w:hint="eastAsia" w:ascii="Calibri" w:hAnsi="Calibri" w:eastAsia="宋体" w:cs="宋体"/>
                <w:sz w:val="24"/>
              </w:rPr>
              <w:t xml:space="preserve">  </w:t>
            </w:r>
            <w:r>
              <w:rPr>
                <w:rFonts w:ascii="Calibri" w:hAnsi="Calibri" w:eastAsia="Calibri" w:cs="Calibri"/>
                <w:spacing w:val="-3"/>
                <w:sz w:val="24"/>
                <w:szCs w:val="24"/>
              </w:rPr>
              <w:t>202</w:t>
            </w:r>
            <w:r>
              <w:rPr>
                <w:rFonts w:hint="eastAsia" w:ascii="Calibri" w:hAnsi="Calibri" w:eastAsia="宋体" w:cs="Calibri"/>
                <w:spacing w:val="-3"/>
                <w:sz w:val="24"/>
                <w:szCs w:val="24"/>
                <w:lang w:val="en-US" w:eastAsia="zh-CN"/>
              </w:rPr>
              <w:t>2</w:t>
            </w:r>
            <w:r>
              <w:rPr>
                <w:rFonts w:ascii="Calibri" w:hAnsi="Calibri" w:eastAsia="Calibri" w:cs="Calibri"/>
                <w:spacing w:val="-3"/>
                <w:sz w:val="24"/>
                <w:szCs w:val="24"/>
              </w:rPr>
              <w:t xml:space="preserve"> </w:t>
            </w:r>
            <w:r>
              <w:rPr>
                <w:rFonts w:ascii="宋体" w:hAnsi="宋体" w:eastAsia="宋体" w:cs="宋体"/>
                <w:spacing w:val="-3"/>
                <w:sz w:val="24"/>
                <w:szCs w:val="24"/>
              </w:rPr>
              <w:t xml:space="preserve">年 </w:t>
            </w:r>
            <w:r>
              <w:rPr>
                <w:rFonts w:ascii="Calibri" w:hAnsi="Calibri" w:eastAsia="Calibri" w:cs="Calibri"/>
                <w:spacing w:val="-3"/>
                <w:sz w:val="24"/>
                <w:szCs w:val="24"/>
              </w:rPr>
              <w:t xml:space="preserve">7 </w:t>
            </w:r>
            <w:r>
              <w:rPr>
                <w:rFonts w:ascii="宋体" w:hAnsi="宋体" w:eastAsia="宋体" w:cs="宋体"/>
                <w:spacing w:val="-3"/>
                <w:sz w:val="24"/>
                <w:szCs w:val="24"/>
              </w:rPr>
              <w:t xml:space="preserve">月 </w:t>
            </w:r>
            <w:r>
              <w:rPr>
                <w:rFonts w:ascii="Calibri" w:hAnsi="Calibri" w:eastAsia="Calibri" w:cs="Calibri"/>
                <w:spacing w:val="-3"/>
                <w:sz w:val="24"/>
                <w:szCs w:val="24"/>
              </w:rPr>
              <w:t xml:space="preserve">5  </w:t>
            </w:r>
            <w:r>
              <w:rPr>
                <w:rFonts w:ascii="宋体" w:hAnsi="宋体" w:eastAsia="宋体" w:cs="宋体"/>
                <w:spacing w:val="-3"/>
                <w:sz w:val="24"/>
                <w:szCs w:val="24"/>
              </w:rPr>
              <w:t>日</w:t>
            </w:r>
          </w:p>
        </w:tc>
      </w:tr>
    </w:tbl>
    <w:p>
      <w:pPr>
        <w:ind w:firstLine="0" w:firstLineChars="0"/>
        <w:jc w:val="center"/>
        <w:rPr>
          <w:rFonts w:hint="eastAsia"/>
          <w:sz w:val="32"/>
          <w:szCs w:val="32"/>
        </w:rPr>
      </w:pPr>
    </w:p>
    <w:p>
      <w:pPr>
        <w:ind w:firstLine="0" w:firstLineChars="0"/>
        <w:jc w:val="center"/>
        <w:rPr>
          <w:rFonts w:hint="eastAsia"/>
          <w:sz w:val="32"/>
          <w:szCs w:val="32"/>
        </w:rPr>
      </w:pPr>
    </w:p>
    <w:p>
      <w:pPr>
        <w:ind w:firstLine="0" w:firstLineChars="0"/>
        <w:jc w:val="center"/>
        <w:rPr>
          <w:rFonts w:hint="eastAsia"/>
          <w:sz w:val="32"/>
          <w:szCs w:val="32"/>
        </w:rPr>
      </w:pPr>
    </w:p>
    <w:p>
      <w:pPr>
        <w:ind w:firstLine="0" w:firstLineChars="0"/>
        <w:jc w:val="center"/>
        <w:rPr>
          <w:rFonts w:hint="eastAsia"/>
          <w:sz w:val="32"/>
          <w:szCs w:val="32"/>
        </w:rPr>
      </w:pPr>
    </w:p>
    <w:p>
      <w:pPr>
        <w:ind w:firstLine="0" w:firstLineChars="0"/>
        <w:jc w:val="center"/>
        <w:rPr>
          <w:sz w:val="32"/>
          <w:szCs w:val="32"/>
        </w:rPr>
      </w:pPr>
      <w:r>
        <w:rPr>
          <w:rFonts w:hint="eastAsia"/>
          <w:sz w:val="32"/>
          <w:szCs w:val="32"/>
        </w:rPr>
        <w:t>佛山市南海区第一职业技术学校专业人才培养方案</w:t>
      </w:r>
    </w:p>
    <w:p>
      <w:pPr>
        <w:ind w:firstLine="0" w:firstLineChars="0"/>
        <w:jc w:val="center"/>
        <w:rPr>
          <w:sz w:val="32"/>
          <w:szCs w:val="32"/>
        </w:rPr>
      </w:pPr>
      <w:r>
        <w:rPr>
          <w:rFonts w:hint="eastAsia"/>
          <w:sz w:val="32"/>
          <w:szCs w:val="32"/>
        </w:rPr>
        <w:t>变更审批表</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772"/>
        <w:gridCol w:w="2056"/>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ind w:firstLine="0" w:firstLineChars="0"/>
              <w:jc w:val="center"/>
              <w:rPr>
                <w:rFonts w:eastAsiaTheme="minorEastAsia"/>
                <w:sz w:val="28"/>
                <w:szCs w:val="28"/>
              </w:rPr>
            </w:pPr>
            <w:r>
              <w:rPr>
                <w:rFonts w:hint="eastAsia" w:eastAsiaTheme="minorEastAsia"/>
                <w:sz w:val="28"/>
                <w:szCs w:val="28"/>
              </w:rPr>
              <w:t>适用专业</w:t>
            </w:r>
          </w:p>
        </w:tc>
        <w:tc>
          <w:tcPr>
            <w:tcW w:w="1772" w:type="dxa"/>
          </w:tcPr>
          <w:p>
            <w:pPr>
              <w:ind w:firstLine="480"/>
              <w:jc w:val="center"/>
              <w:rPr>
                <w:rFonts w:eastAsiaTheme="minorEastAsia"/>
                <w:szCs w:val="24"/>
              </w:rPr>
            </w:pPr>
          </w:p>
        </w:tc>
        <w:tc>
          <w:tcPr>
            <w:tcW w:w="2056" w:type="dxa"/>
          </w:tcPr>
          <w:p>
            <w:pPr>
              <w:ind w:firstLine="0" w:firstLineChars="0"/>
              <w:jc w:val="center"/>
              <w:rPr>
                <w:rFonts w:eastAsiaTheme="minorEastAsia"/>
                <w:sz w:val="28"/>
                <w:szCs w:val="28"/>
              </w:rPr>
            </w:pPr>
            <w:r>
              <w:rPr>
                <w:rFonts w:hint="eastAsia" w:eastAsiaTheme="minorEastAsia"/>
                <w:sz w:val="28"/>
                <w:szCs w:val="28"/>
              </w:rPr>
              <w:t>变更日期</w:t>
            </w:r>
          </w:p>
        </w:tc>
        <w:tc>
          <w:tcPr>
            <w:tcW w:w="2092" w:type="dxa"/>
          </w:tcPr>
          <w:p>
            <w:pPr>
              <w:ind w:firstLine="560"/>
              <w:rPr>
                <w:rFonts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ind w:firstLine="0" w:firstLineChars="0"/>
              <w:jc w:val="center"/>
              <w:rPr>
                <w:rFonts w:eastAsiaTheme="minorEastAsia"/>
                <w:sz w:val="28"/>
                <w:szCs w:val="28"/>
              </w:rPr>
            </w:pPr>
            <w:r>
              <w:rPr>
                <w:rFonts w:hint="eastAsia" w:eastAsiaTheme="minorEastAsia"/>
                <w:sz w:val="28"/>
                <w:szCs w:val="28"/>
              </w:rPr>
              <w:t>编制者</w:t>
            </w:r>
          </w:p>
        </w:tc>
        <w:tc>
          <w:tcPr>
            <w:tcW w:w="1772" w:type="dxa"/>
          </w:tcPr>
          <w:p>
            <w:pPr>
              <w:ind w:firstLine="560"/>
              <w:jc w:val="center"/>
              <w:rPr>
                <w:rFonts w:eastAsiaTheme="minorEastAsia"/>
                <w:sz w:val="28"/>
                <w:szCs w:val="28"/>
              </w:rPr>
            </w:pPr>
          </w:p>
        </w:tc>
        <w:tc>
          <w:tcPr>
            <w:tcW w:w="2056" w:type="dxa"/>
          </w:tcPr>
          <w:p>
            <w:pPr>
              <w:ind w:firstLine="0" w:firstLineChars="0"/>
              <w:jc w:val="center"/>
              <w:rPr>
                <w:rFonts w:eastAsiaTheme="minorEastAsia"/>
                <w:sz w:val="28"/>
                <w:szCs w:val="28"/>
              </w:rPr>
            </w:pPr>
            <w:r>
              <w:rPr>
                <w:rFonts w:hint="eastAsia" w:eastAsiaTheme="minorEastAsia"/>
                <w:sz w:val="28"/>
                <w:szCs w:val="28"/>
              </w:rPr>
              <w:t>审核者</w:t>
            </w:r>
          </w:p>
        </w:tc>
        <w:tc>
          <w:tcPr>
            <w:tcW w:w="2092" w:type="dxa"/>
          </w:tcPr>
          <w:p>
            <w:pPr>
              <w:ind w:firstLine="560"/>
              <w:rPr>
                <w:rFonts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ind w:firstLine="0" w:firstLineChars="0"/>
              <w:jc w:val="center"/>
              <w:rPr>
                <w:rFonts w:eastAsiaTheme="minorEastAsia"/>
                <w:sz w:val="28"/>
                <w:szCs w:val="28"/>
              </w:rPr>
            </w:pPr>
            <w:r>
              <w:rPr>
                <w:rFonts w:hint="eastAsia" w:eastAsiaTheme="minorEastAsia"/>
                <w:sz w:val="28"/>
                <w:szCs w:val="28"/>
              </w:rPr>
              <w:t>审批者</w:t>
            </w:r>
          </w:p>
        </w:tc>
        <w:tc>
          <w:tcPr>
            <w:tcW w:w="1772" w:type="dxa"/>
          </w:tcPr>
          <w:p>
            <w:pPr>
              <w:ind w:firstLine="560"/>
              <w:jc w:val="center"/>
              <w:rPr>
                <w:rFonts w:eastAsiaTheme="minorEastAsia"/>
                <w:sz w:val="28"/>
                <w:szCs w:val="28"/>
              </w:rPr>
            </w:pPr>
          </w:p>
        </w:tc>
        <w:tc>
          <w:tcPr>
            <w:tcW w:w="2056" w:type="dxa"/>
          </w:tcPr>
          <w:p>
            <w:pPr>
              <w:ind w:firstLine="0" w:firstLineChars="0"/>
              <w:jc w:val="center"/>
              <w:rPr>
                <w:rFonts w:eastAsiaTheme="minorEastAsia"/>
                <w:sz w:val="28"/>
                <w:szCs w:val="28"/>
              </w:rPr>
            </w:pPr>
            <w:r>
              <w:rPr>
                <w:rFonts w:hint="eastAsia" w:eastAsiaTheme="minorEastAsia"/>
                <w:sz w:val="28"/>
                <w:szCs w:val="28"/>
              </w:rPr>
              <w:t>审批日期</w:t>
            </w:r>
          </w:p>
        </w:tc>
        <w:tc>
          <w:tcPr>
            <w:tcW w:w="2092" w:type="dxa"/>
          </w:tcPr>
          <w:p>
            <w:pPr>
              <w:ind w:firstLine="560"/>
              <w:rPr>
                <w:rFonts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ind w:firstLine="0" w:firstLineChars="0"/>
              <w:jc w:val="center"/>
              <w:rPr>
                <w:rFonts w:eastAsiaTheme="minorEastAsia"/>
                <w:sz w:val="28"/>
                <w:szCs w:val="28"/>
              </w:rPr>
            </w:pPr>
            <w:r>
              <w:rPr>
                <w:rFonts w:hint="eastAsia" w:eastAsiaTheme="minorEastAsia"/>
                <w:sz w:val="28"/>
                <w:szCs w:val="28"/>
              </w:rPr>
              <w:t>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8296" w:type="dxa"/>
            <w:gridSpan w:val="4"/>
          </w:tcPr>
          <w:p>
            <w:pPr>
              <w:ind w:firstLine="560"/>
              <w:jc w:val="center"/>
              <w:rPr>
                <w:rFonts w:eastAsiaTheme="minorEastAsia"/>
                <w:sz w:val="28"/>
                <w:szCs w:val="28"/>
              </w:rPr>
            </w:pPr>
          </w:p>
          <w:p>
            <w:pPr>
              <w:ind w:firstLine="560"/>
              <w:jc w:val="center"/>
              <w:rPr>
                <w:rFonts w:eastAsiaTheme="minorEastAsia"/>
                <w:sz w:val="28"/>
                <w:szCs w:val="28"/>
              </w:rPr>
            </w:pPr>
          </w:p>
          <w:p>
            <w:pPr>
              <w:ind w:firstLine="560"/>
              <w:jc w:val="center"/>
              <w:rPr>
                <w:rFonts w:eastAsiaTheme="minorEastAsia"/>
                <w:sz w:val="28"/>
                <w:szCs w:val="28"/>
              </w:rPr>
            </w:pPr>
          </w:p>
          <w:p>
            <w:pPr>
              <w:ind w:firstLine="560"/>
              <w:rPr>
                <w:rFonts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296" w:type="dxa"/>
            <w:gridSpan w:val="4"/>
          </w:tcPr>
          <w:p>
            <w:pPr>
              <w:ind w:firstLine="0" w:firstLineChars="0"/>
              <w:jc w:val="center"/>
              <w:rPr>
                <w:rFonts w:eastAsiaTheme="minorEastAsia"/>
                <w:sz w:val="28"/>
                <w:szCs w:val="28"/>
              </w:rPr>
            </w:pPr>
            <w:r>
              <w:rPr>
                <w:rFonts w:hint="eastAsia" w:eastAsiaTheme="minorEastAsia"/>
                <w:sz w:val="28"/>
                <w:szCs w:val="28"/>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8" w:hRule="atLeast"/>
        </w:trPr>
        <w:tc>
          <w:tcPr>
            <w:tcW w:w="8296" w:type="dxa"/>
            <w:gridSpan w:val="4"/>
          </w:tcPr>
          <w:p>
            <w:pPr>
              <w:ind w:firstLine="480"/>
              <w:rPr>
                <w:rFonts w:eastAsiaTheme="minorEastAsia"/>
              </w:rPr>
            </w:pPr>
          </w:p>
          <w:p>
            <w:pPr>
              <w:ind w:firstLine="480"/>
              <w:rPr>
                <w:rFonts w:eastAsiaTheme="minorEastAsia"/>
              </w:rPr>
            </w:pPr>
          </w:p>
          <w:p>
            <w:pPr>
              <w:ind w:firstLine="480"/>
              <w:rPr>
                <w:rFonts w:eastAsiaTheme="minorEastAsia"/>
              </w:rPr>
            </w:pPr>
          </w:p>
          <w:p>
            <w:pPr>
              <w:ind w:firstLine="480"/>
              <w:rPr>
                <w:rFonts w:eastAsiaTheme="minorEastAsia"/>
              </w:rPr>
            </w:pPr>
          </w:p>
          <w:p>
            <w:pPr>
              <w:ind w:firstLine="480"/>
              <w:rPr>
                <w:rFonts w:eastAsiaTheme="minorEastAsia"/>
              </w:rPr>
            </w:pPr>
          </w:p>
          <w:p>
            <w:pPr>
              <w:ind w:firstLine="480"/>
              <w:rPr>
                <w:rFonts w:eastAsiaTheme="minorEastAsia"/>
              </w:rPr>
            </w:pPr>
            <w:r>
              <w:rPr>
                <w:rFonts w:hint="eastAsia" w:eastAsiaTheme="minorEastAsia"/>
              </w:rPr>
              <w:t xml:space="preserve"> </w:t>
            </w:r>
            <w:r>
              <w:rPr>
                <w:rFonts w:eastAsiaTheme="minorEastAsia"/>
              </w:rPr>
              <w:t xml:space="preserve">                                         </w:t>
            </w:r>
          </w:p>
          <w:p>
            <w:pPr>
              <w:ind w:firstLine="5040" w:firstLineChars="2100"/>
              <w:rPr>
                <w:rFonts w:eastAsiaTheme="minorEastAsia"/>
                <w:szCs w:val="24"/>
              </w:rPr>
            </w:pPr>
            <w:r>
              <w:rPr>
                <w:rFonts w:hint="eastAsia" w:eastAsiaTheme="minorEastAsia"/>
                <w:szCs w:val="24"/>
              </w:rPr>
              <w:t>学校公章</w:t>
            </w:r>
          </w:p>
          <w:p>
            <w:pPr>
              <w:ind w:firstLine="480"/>
              <w:rPr>
                <w:rFonts w:eastAsiaTheme="minorEastAsia"/>
              </w:rPr>
            </w:pPr>
          </w:p>
        </w:tc>
      </w:tr>
    </w:tbl>
    <w:p>
      <w:pPr>
        <w:ind w:firstLine="0" w:firstLineChars="0"/>
        <w:rPr>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仿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iYTY2NDlkMDQwM2U4ZmU3ZWY5MjkzYTFhMGRkYzgifQ=="/>
  </w:docVars>
  <w:rsids>
    <w:rsidRoot w:val="00ED1FC6"/>
    <w:rsid w:val="00027E99"/>
    <w:rsid w:val="0004770A"/>
    <w:rsid w:val="00071ED8"/>
    <w:rsid w:val="00076541"/>
    <w:rsid w:val="000B4B84"/>
    <w:rsid w:val="000D3CDE"/>
    <w:rsid w:val="000E2673"/>
    <w:rsid w:val="00113D94"/>
    <w:rsid w:val="00127BC9"/>
    <w:rsid w:val="0013284F"/>
    <w:rsid w:val="001474A6"/>
    <w:rsid w:val="00153CAF"/>
    <w:rsid w:val="00163638"/>
    <w:rsid w:val="00164E86"/>
    <w:rsid w:val="00172159"/>
    <w:rsid w:val="00180C02"/>
    <w:rsid w:val="00187124"/>
    <w:rsid w:val="001951A2"/>
    <w:rsid w:val="001A7AD1"/>
    <w:rsid w:val="001F49A5"/>
    <w:rsid w:val="002144A5"/>
    <w:rsid w:val="002648B4"/>
    <w:rsid w:val="00272AED"/>
    <w:rsid w:val="002A3F15"/>
    <w:rsid w:val="002A7D93"/>
    <w:rsid w:val="002B4D29"/>
    <w:rsid w:val="002B62F9"/>
    <w:rsid w:val="002F7BDD"/>
    <w:rsid w:val="003127A7"/>
    <w:rsid w:val="003202BE"/>
    <w:rsid w:val="00323BCB"/>
    <w:rsid w:val="00326DBA"/>
    <w:rsid w:val="00327C14"/>
    <w:rsid w:val="00330CDA"/>
    <w:rsid w:val="00367A9E"/>
    <w:rsid w:val="0038180C"/>
    <w:rsid w:val="00383F07"/>
    <w:rsid w:val="00385A64"/>
    <w:rsid w:val="003B1184"/>
    <w:rsid w:val="003B460A"/>
    <w:rsid w:val="003C2CB2"/>
    <w:rsid w:val="003D059C"/>
    <w:rsid w:val="003F23E2"/>
    <w:rsid w:val="004005E8"/>
    <w:rsid w:val="004105FA"/>
    <w:rsid w:val="00433FCF"/>
    <w:rsid w:val="0043583D"/>
    <w:rsid w:val="00443BDA"/>
    <w:rsid w:val="00477F21"/>
    <w:rsid w:val="00484DE5"/>
    <w:rsid w:val="00497F1B"/>
    <w:rsid w:val="004A4069"/>
    <w:rsid w:val="004B3666"/>
    <w:rsid w:val="004E2C84"/>
    <w:rsid w:val="004F2C27"/>
    <w:rsid w:val="005328CD"/>
    <w:rsid w:val="00544F5D"/>
    <w:rsid w:val="005823E3"/>
    <w:rsid w:val="00585721"/>
    <w:rsid w:val="00593563"/>
    <w:rsid w:val="005A123A"/>
    <w:rsid w:val="005F6D65"/>
    <w:rsid w:val="005F754A"/>
    <w:rsid w:val="0061705A"/>
    <w:rsid w:val="0062773E"/>
    <w:rsid w:val="00663D33"/>
    <w:rsid w:val="0067343F"/>
    <w:rsid w:val="00673BE0"/>
    <w:rsid w:val="00680F46"/>
    <w:rsid w:val="006847D8"/>
    <w:rsid w:val="0069289A"/>
    <w:rsid w:val="00697760"/>
    <w:rsid w:val="00697944"/>
    <w:rsid w:val="006A426F"/>
    <w:rsid w:val="006A706C"/>
    <w:rsid w:val="006B23B3"/>
    <w:rsid w:val="006C03F2"/>
    <w:rsid w:val="006D2321"/>
    <w:rsid w:val="00700518"/>
    <w:rsid w:val="00721557"/>
    <w:rsid w:val="00722D18"/>
    <w:rsid w:val="007418F3"/>
    <w:rsid w:val="007835C8"/>
    <w:rsid w:val="00785310"/>
    <w:rsid w:val="007A2968"/>
    <w:rsid w:val="007A683F"/>
    <w:rsid w:val="007C03E0"/>
    <w:rsid w:val="007C5BED"/>
    <w:rsid w:val="00800A8E"/>
    <w:rsid w:val="00804AA6"/>
    <w:rsid w:val="00812B67"/>
    <w:rsid w:val="0081688A"/>
    <w:rsid w:val="00835CBD"/>
    <w:rsid w:val="00837895"/>
    <w:rsid w:val="00865E2B"/>
    <w:rsid w:val="008750F8"/>
    <w:rsid w:val="00876807"/>
    <w:rsid w:val="0088362F"/>
    <w:rsid w:val="00897BFB"/>
    <w:rsid w:val="008A0C26"/>
    <w:rsid w:val="008B4255"/>
    <w:rsid w:val="008C4828"/>
    <w:rsid w:val="008C6273"/>
    <w:rsid w:val="008C7E8C"/>
    <w:rsid w:val="008D074A"/>
    <w:rsid w:val="008D4730"/>
    <w:rsid w:val="00920255"/>
    <w:rsid w:val="0097006C"/>
    <w:rsid w:val="009702F8"/>
    <w:rsid w:val="0098137C"/>
    <w:rsid w:val="00983D86"/>
    <w:rsid w:val="009852E9"/>
    <w:rsid w:val="0098613C"/>
    <w:rsid w:val="00987CE4"/>
    <w:rsid w:val="009B02E5"/>
    <w:rsid w:val="00A0789F"/>
    <w:rsid w:val="00A227EE"/>
    <w:rsid w:val="00A36A14"/>
    <w:rsid w:val="00A4766D"/>
    <w:rsid w:val="00A55F0C"/>
    <w:rsid w:val="00A728CE"/>
    <w:rsid w:val="00A81A71"/>
    <w:rsid w:val="00AB0BB7"/>
    <w:rsid w:val="00B02043"/>
    <w:rsid w:val="00B20047"/>
    <w:rsid w:val="00B80935"/>
    <w:rsid w:val="00B925B6"/>
    <w:rsid w:val="00BC47AA"/>
    <w:rsid w:val="00BD1240"/>
    <w:rsid w:val="00BD27AA"/>
    <w:rsid w:val="00BD38A3"/>
    <w:rsid w:val="00BF5E5B"/>
    <w:rsid w:val="00C1092D"/>
    <w:rsid w:val="00C36062"/>
    <w:rsid w:val="00C579E1"/>
    <w:rsid w:val="00C8191C"/>
    <w:rsid w:val="00CA7F96"/>
    <w:rsid w:val="00CB0974"/>
    <w:rsid w:val="00CB0F1C"/>
    <w:rsid w:val="00CB6356"/>
    <w:rsid w:val="00CC2EA2"/>
    <w:rsid w:val="00CC6D7A"/>
    <w:rsid w:val="00CD5907"/>
    <w:rsid w:val="00CE30CE"/>
    <w:rsid w:val="00D11F8F"/>
    <w:rsid w:val="00D203F0"/>
    <w:rsid w:val="00D304B5"/>
    <w:rsid w:val="00D410D9"/>
    <w:rsid w:val="00D46DBC"/>
    <w:rsid w:val="00D65014"/>
    <w:rsid w:val="00D81C6C"/>
    <w:rsid w:val="00DC6139"/>
    <w:rsid w:val="00DD1150"/>
    <w:rsid w:val="00DD5EA5"/>
    <w:rsid w:val="00DE204C"/>
    <w:rsid w:val="00DF3699"/>
    <w:rsid w:val="00E22C82"/>
    <w:rsid w:val="00E434D7"/>
    <w:rsid w:val="00E45416"/>
    <w:rsid w:val="00E70CBA"/>
    <w:rsid w:val="00E70DD8"/>
    <w:rsid w:val="00E81295"/>
    <w:rsid w:val="00E9593C"/>
    <w:rsid w:val="00EA7D65"/>
    <w:rsid w:val="00EB3C57"/>
    <w:rsid w:val="00EB7A69"/>
    <w:rsid w:val="00EC1AAE"/>
    <w:rsid w:val="00EC2050"/>
    <w:rsid w:val="00ED1FC6"/>
    <w:rsid w:val="00ED6AC3"/>
    <w:rsid w:val="00EE7E53"/>
    <w:rsid w:val="00EF441F"/>
    <w:rsid w:val="00EF7029"/>
    <w:rsid w:val="00F45622"/>
    <w:rsid w:val="00F5695E"/>
    <w:rsid w:val="00F57DA0"/>
    <w:rsid w:val="00F61088"/>
    <w:rsid w:val="00F61615"/>
    <w:rsid w:val="00F63BC5"/>
    <w:rsid w:val="00F85B81"/>
    <w:rsid w:val="00F93AC4"/>
    <w:rsid w:val="00F93EB2"/>
    <w:rsid w:val="00FA5DA1"/>
    <w:rsid w:val="00FC4FA8"/>
    <w:rsid w:val="00FD24AF"/>
    <w:rsid w:val="00FE0FCB"/>
    <w:rsid w:val="00FE3658"/>
    <w:rsid w:val="01F26D0C"/>
    <w:rsid w:val="096936D5"/>
    <w:rsid w:val="0F890A02"/>
    <w:rsid w:val="104355C3"/>
    <w:rsid w:val="155E20A0"/>
    <w:rsid w:val="1D6176BC"/>
    <w:rsid w:val="1FD43EA4"/>
    <w:rsid w:val="21C97DBA"/>
    <w:rsid w:val="25090731"/>
    <w:rsid w:val="26726503"/>
    <w:rsid w:val="2DC427F2"/>
    <w:rsid w:val="32C74BFD"/>
    <w:rsid w:val="46F16450"/>
    <w:rsid w:val="4C260251"/>
    <w:rsid w:val="4F934933"/>
    <w:rsid w:val="55AD03B6"/>
    <w:rsid w:val="59BB5797"/>
    <w:rsid w:val="5A666A46"/>
    <w:rsid w:val="5BC3555C"/>
    <w:rsid w:val="62AD0867"/>
    <w:rsid w:val="6EC171B2"/>
    <w:rsid w:val="74A83B47"/>
    <w:rsid w:val="7E1B427E"/>
    <w:rsid w:val="7F945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宋体"/>
      <w:kern w:val="2"/>
      <w:sz w:val="24"/>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link w:val="21"/>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unhideWhenUsed/>
    <w:qFormat/>
    <w:uiPriority w:val="99"/>
    <w:pPr>
      <w:jc w:val="left"/>
    </w:pPr>
  </w:style>
  <w:style w:type="paragraph" w:styleId="6">
    <w:name w:val="Body Text Indent 2"/>
    <w:basedOn w:val="1"/>
    <w:link w:val="27"/>
    <w:qFormat/>
    <w:uiPriority w:val="99"/>
    <w:pPr>
      <w:ind w:firstLine="360" w:firstLineChars="150"/>
    </w:pPr>
    <w:rPr>
      <w:rFonts w:ascii="宋体" w:hAnsi="宋体" w:cs="Times New Roman"/>
      <w:szCs w:val="24"/>
    </w:rPr>
  </w:style>
  <w:style w:type="paragraph" w:styleId="7">
    <w:name w:val="Balloon Text"/>
    <w:basedOn w:val="1"/>
    <w:link w:val="16"/>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5"/>
    <w:unhideWhenUsed/>
    <w:qFormat/>
    <w:uiPriority w:val="99"/>
    <w:rPr>
      <w:b/>
      <w:bCs/>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annotation reference"/>
    <w:basedOn w:val="13"/>
    <w:unhideWhenUsed/>
    <w:qFormat/>
    <w:uiPriority w:val="99"/>
    <w:rPr>
      <w:sz w:val="21"/>
      <w:szCs w:val="21"/>
    </w:rPr>
  </w:style>
  <w:style w:type="character" w:customStyle="1" w:styleId="16">
    <w:name w:val="批注框文本 Char"/>
    <w:basedOn w:val="13"/>
    <w:link w:val="7"/>
    <w:qFormat/>
    <w:uiPriority w:val="99"/>
    <w:rPr>
      <w:sz w:val="18"/>
      <w:szCs w:val="18"/>
    </w:rPr>
  </w:style>
  <w:style w:type="character" w:customStyle="1" w:styleId="17">
    <w:name w:val="页眉 Char"/>
    <w:basedOn w:val="13"/>
    <w:link w:val="9"/>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标题 1 Char"/>
    <w:basedOn w:val="13"/>
    <w:link w:val="2"/>
    <w:qFormat/>
    <w:uiPriority w:val="9"/>
    <w:rPr>
      <w:b/>
      <w:bCs/>
      <w:kern w:val="44"/>
      <w:sz w:val="44"/>
      <w:szCs w:val="44"/>
    </w:rPr>
  </w:style>
  <w:style w:type="character" w:customStyle="1" w:styleId="20">
    <w:name w:val="标题 2 Char"/>
    <w:basedOn w:val="13"/>
    <w:link w:val="3"/>
    <w:qFormat/>
    <w:uiPriority w:val="9"/>
    <w:rPr>
      <w:rFonts w:ascii="Cambria" w:hAnsi="Cambria" w:eastAsia="宋体" w:cs="宋体"/>
      <w:b/>
      <w:bCs/>
      <w:sz w:val="28"/>
      <w:szCs w:val="32"/>
    </w:rPr>
  </w:style>
  <w:style w:type="character" w:customStyle="1" w:styleId="21">
    <w:name w:val="标题 3 Char"/>
    <w:basedOn w:val="13"/>
    <w:link w:val="4"/>
    <w:qFormat/>
    <w:uiPriority w:val="9"/>
    <w:rPr>
      <w:b/>
      <w:bCs/>
      <w:sz w:val="32"/>
      <w:szCs w:val="32"/>
    </w:rPr>
  </w:style>
  <w:style w:type="paragraph" w:customStyle="1" w:styleId="22">
    <w:name w:val="列出段落1"/>
    <w:basedOn w:val="1"/>
    <w:qFormat/>
    <w:uiPriority w:val="34"/>
    <w:pPr>
      <w:spacing w:line="240" w:lineRule="auto"/>
      <w:ind w:firstLine="420"/>
    </w:pPr>
    <w:rPr>
      <w:rFonts w:asciiTheme="minorHAnsi" w:hAnsiTheme="minorHAnsi" w:eastAsiaTheme="minorEastAsia" w:cstheme="minorBidi"/>
      <w:sz w:val="21"/>
    </w:rPr>
  </w:style>
  <w:style w:type="paragraph" w:customStyle="1" w:styleId="23">
    <w:name w:val="无间隔1"/>
    <w:qFormat/>
    <w:uiPriority w:val="1"/>
    <w:pPr>
      <w:widowControl w:val="0"/>
      <w:ind w:firstLine="200" w:firstLineChars="200"/>
      <w:jc w:val="both"/>
    </w:pPr>
    <w:rPr>
      <w:rFonts w:ascii="Calibri" w:hAnsi="Calibri" w:eastAsia="宋体" w:cs="宋体"/>
      <w:kern w:val="2"/>
      <w:sz w:val="24"/>
      <w:szCs w:val="22"/>
      <w:lang w:val="en-US" w:eastAsia="zh-CN" w:bidi="ar-SA"/>
    </w:rPr>
  </w:style>
  <w:style w:type="character" w:customStyle="1" w:styleId="24">
    <w:name w:val="批注文字 Char"/>
    <w:basedOn w:val="13"/>
    <w:link w:val="5"/>
    <w:semiHidden/>
    <w:qFormat/>
    <w:uiPriority w:val="99"/>
    <w:rPr>
      <w:sz w:val="24"/>
    </w:rPr>
  </w:style>
  <w:style w:type="character" w:customStyle="1" w:styleId="25">
    <w:name w:val="批注主题 Char"/>
    <w:basedOn w:val="24"/>
    <w:link w:val="10"/>
    <w:semiHidden/>
    <w:qFormat/>
    <w:uiPriority w:val="99"/>
    <w:rPr>
      <w:b/>
      <w:bCs/>
      <w:sz w:val="24"/>
    </w:rPr>
  </w:style>
  <w:style w:type="character" w:customStyle="1" w:styleId="26">
    <w:name w:val="generalinfo-address-text"/>
    <w:basedOn w:val="13"/>
    <w:qFormat/>
    <w:uiPriority w:val="0"/>
  </w:style>
  <w:style w:type="character" w:customStyle="1" w:styleId="27">
    <w:name w:val="正文文本缩进 2 Char"/>
    <w:basedOn w:val="13"/>
    <w:link w:val="6"/>
    <w:qFormat/>
    <w:uiPriority w:val="99"/>
    <w:rPr>
      <w:rFonts w:ascii="宋体" w:hAnsi="宋体" w:cs="Times New Roman"/>
      <w:sz w:val="24"/>
      <w:szCs w:val="24"/>
    </w:rPr>
  </w:style>
  <w:style w:type="paragraph" w:customStyle="1" w:styleId="28">
    <w:name w:val="中等深浅网格 1 - 着色 21"/>
    <w:basedOn w:val="1"/>
    <w:qFormat/>
    <w:uiPriority w:val="99"/>
    <w:pPr>
      <w:ind w:firstLine="420"/>
    </w:pPr>
    <w:rPr>
      <w:rFonts w:cs="Times New Roman"/>
      <w:sz w:val="21"/>
    </w:rPr>
  </w:style>
  <w:style w:type="paragraph" w:customStyle="1" w:styleId="29">
    <w:name w:val="方案正文部分"/>
    <w:basedOn w:val="1"/>
    <w:qFormat/>
    <w:uiPriority w:val="0"/>
    <w:pPr>
      <w:ind w:firstLine="600"/>
    </w:pPr>
    <w:rPr>
      <w:rFonts w:ascii="仿宋_GB2312" w:hAnsi="Times New Roman" w:eastAsia="仿宋_GB2312" w:cs="Times New Roman"/>
      <w:snapToGrid w:val="0"/>
      <w:color w:val="000000"/>
      <w:sz w:val="30"/>
      <w:szCs w:val="30"/>
    </w:rPr>
  </w:style>
  <w:style w:type="paragraph" w:customStyle="1" w:styleId="30">
    <w:name w:val="标题5"/>
    <w:basedOn w:val="1"/>
    <w:qFormat/>
    <w:uiPriority w:val="0"/>
    <w:pPr>
      <w:adjustRightInd w:val="0"/>
      <w:snapToGrid w:val="0"/>
      <w:spacing w:line="310" w:lineRule="atLeast"/>
      <w:ind w:firstLine="425" w:firstLineChars="0"/>
    </w:pPr>
    <w:rPr>
      <w:rFonts w:ascii="Arial" w:hAnsi="Arial" w:eastAsia="黑体" w:cs="Times New Roman"/>
      <w:sz w:val="32"/>
      <w:szCs w:val="20"/>
    </w:rPr>
  </w:style>
  <w:style w:type="paragraph" w:customStyle="1" w:styleId="31">
    <w:name w:val="样式1"/>
    <w:basedOn w:val="1"/>
    <w:qFormat/>
    <w:uiPriority w:val="0"/>
    <w:pPr>
      <w:spacing w:line="240" w:lineRule="auto"/>
      <w:ind w:firstLine="0" w:firstLineChars="0"/>
    </w:pPr>
    <w:rPr>
      <w:rFonts w:ascii="Times New Roman" w:hAnsi="Times New Roman" w:cs="Times New Roman"/>
      <w:sz w:val="21"/>
      <w:szCs w:val="20"/>
    </w:rPr>
  </w:style>
  <w:style w:type="table" w:customStyle="1" w:styleId="32">
    <w:name w:val="网格型1"/>
    <w:basedOn w:val="11"/>
    <w:qFormat/>
    <w:uiPriority w:val="39"/>
    <w:rPr>
      <w:rFonts w:asciiTheme="minorHAnsi" w:hAnsiTheme="minorHAns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4EE0A-2808-44F6-9C41-3D94635A393C}">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12876</Words>
  <Characters>13336</Characters>
  <Lines>105</Lines>
  <Paragraphs>29</Paragraphs>
  <TotalTime>0</TotalTime>
  <ScaleCrop>false</ScaleCrop>
  <LinksUpToDate>false</LinksUpToDate>
  <CharactersWithSpaces>13701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2020-03-07T03:01:00Z</dcterms:created>
  <dc:creator>Administrator</dc:creator>
  <cp:lastModifiedBy>周列</cp:lastModifiedBy>
  <cp:lastPrinted>2022-07-31T07:31:00Z</cp:lastPrinted>
  <dcterms:modified xsi:type="dcterms:W3CDTF">2022-08-14T10:50:42Z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D4C1F6A849E04D9A8A929D755AC50445</vt:lpwstr>
  </property>
</Properties>
</file>