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黑体" w:hAnsi="黑体" w:eastAsia="黑体" w:cs="黑体"/>
          <w:b w:val="0"/>
          <w:bCs w:val="0"/>
          <w:color w:val="auto"/>
          <w:sz w:val="32"/>
          <w:szCs w:val="32"/>
        </w:rPr>
      </w:pPr>
      <w:bookmarkStart w:id="0" w:name="_Toc21364"/>
      <w:bookmarkStart w:id="1" w:name="_Toc24070"/>
      <w:bookmarkStart w:id="2" w:name="_Toc18127"/>
      <w:r>
        <w:rPr>
          <w:color w:val="auto"/>
        </w:rPr>
        <w:drawing>
          <wp:anchor distT="0" distB="0" distL="114300" distR="114300" simplePos="0" relativeHeight="251660288" behindDoc="1" locked="0" layoutInCell="1" allowOverlap="1">
            <wp:simplePos x="0" y="0"/>
            <wp:positionH relativeFrom="column">
              <wp:posOffset>2750820</wp:posOffset>
            </wp:positionH>
            <wp:positionV relativeFrom="paragraph">
              <wp:posOffset>-184150</wp:posOffset>
            </wp:positionV>
            <wp:extent cx="2223770" cy="2050415"/>
            <wp:effectExtent l="0" t="0" r="1270" b="6985"/>
            <wp:wrapNone/>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6"/>
                    <a:stretch>
                      <a:fillRect/>
                    </a:stretch>
                  </pic:blipFill>
                  <pic:spPr>
                    <a:xfrm>
                      <a:off x="0" y="0"/>
                      <a:ext cx="2223770" cy="2050415"/>
                    </a:xfrm>
                    <a:prstGeom prst="rect">
                      <a:avLst/>
                    </a:prstGeom>
                    <a:noFill/>
                    <a:ln>
                      <a:noFill/>
                    </a:ln>
                  </pic:spPr>
                </pic:pic>
              </a:graphicData>
            </a:graphic>
          </wp:anchor>
        </w:drawing>
      </w:r>
      <w:r>
        <w:rPr>
          <w:rFonts w:hint="eastAsia" w:asciiTheme="minorEastAsia" w:hAnsiTheme="minorEastAsia" w:eastAsiaTheme="minorEastAsia" w:cstheme="minorEastAsia"/>
          <w:b/>
          <w:bCs/>
          <w:color w:val="auto"/>
          <w:sz w:val="30"/>
          <w:szCs w:val="30"/>
        </w:rPr>
        <w:t>佛山市南海区第一职业技术学校</w:t>
      </w:r>
      <w:bookmarkEnd w:id="0"/>
      <w:bookmarkEnd w:id="1"/>
      <w:bookmarkStart w:id="3" w:name="_Toc16394"/>
      <w:bookmarkStart w:id="4" w:name="_Toc20008"/>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Theme="minorEastAsia" w:hAnsiTheme="minorEastAsia" w:eastAsiaTheme="minorEastAsia" w:cstheme="minorEastAsia"/>
          <w:b/>
          <w:bCs/>
          <w:color w:val="auto"/>
          <w:sz w:val="30"/>
          <w:szCs w:val="30"/>
        </w:rPr>
      </w:pPr>
      <w:r>
        <w:rPr>
          <w:rFonts w:hint="eastAsia" w:asciiTheme="minorEastAsia" w:hAnsiTheme="minorEastAsia" w:eastAsiaTheme="minorEastAsia" w:cstheme="minorEastAsia"/>
          <w:b/>
          <w:bCs/>
          <w:color w:val="auto"/>
          <w:sz w:val="30"/>
          <w:szCs w:val="30"/>
          <w:lang w:val="en-US" w:eastAsia="zh-CN"/>
        </w:rPr>
        <w:t>物流服务与管理</w:t>
      </w:r>
      <w:r>
        <w:rPr>
          <w:rFonts w:hint="eastAsia" w:asciiTheme="minorEastAsia" w:hAnsiTheme="minorEastAsia" w:eastAsiaTheme="minorEastAsia" w:cstheme="minorEastAsia"/>
          <w:b/>
          <w:bCs/>
          <w:color w:val="auto"/>
          <w:sz w:val="30"/>
          <w:szCs w:val="30"/>
        </w:rPr>
        <w:t>专业</w:t>
      </w:r>
      <w:bookmarkEnd w:id="2"/>
      <w:bookmarkEnd w:id="3"/>
      <w:bookmarkEnd w:id="4"/>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Theme="minorEastAsia" w:hAnsiTheme="minorEastAsia" w:eastAsiaTheme="minorEastAsia" w:cstheme="minorEastAsia"/>
          <w:b/>
          <w:bCs/>
          <w:color w:val="auto"/>
          <w:sz w:val="30"/>
          <w:szCs w:val="30"/>
        </w:rPr>
      </w:pPr>
      <w:bookmarkStart w:id="5" w:name="_Toc16582"/>
      <w:bookmarkStart w:id="6" w:name="_Toc29126"/>
      <w:bookmarkStart w:id="7" w:name="_Toc18916"/>
      <w:r>
        <w:rPr>
          <w:rFonts w:hint="eastAsia" w:asciiTheme="minorEastAsia" w:hAnsiTheme="minorEastAsia" w:eastAsiaTheme="minorEastAsia" w:cstheme="minorEastAsia"/>
          <w:b/>
          <w:bCs/>
          <w:color w:val="auto"/>
          <w:sz w:val="30"/>
          <w:szCs w:val="30"/>
        </w:rPr>
        <w:t>（专业代码：730801）</w:t>
      </w:r>
      <w:bookmarkEnd w:id="5"/>
      <w:bookmarkEnd w:id="6"/>
      <w:bookmarkEnd w:id="7"/>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Theme="minorEastAsia" w:hAnsiTheme="minorEastAsia" w:eastAsiaTheme="minorEastAsia" w:cstheme="minorEastAsia"/>
          <w:b/>
          <w:bCs/>
          <w:color w:val="auto"/>
          <w:sz w:val="30"/>
          <w:szCs w:val="30"/>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Theme="minorEastAsia" w:hAnsiTheme="minorEastAsia" w:eastAsiaTheme="minorEastAsia" w:cstheme="minorEastAsia"/>
          <w:b/>
          <w:bCs/>
          <w:color w:val="auto"/>
          <w:sz w:val="30"/>
          <w:szCs w:val="30"/>
        </w:rPr>
      </w:pPr>
      <w:bookmarkStart w:id="8" w:name="_Toc5100"/>
      <w:bookmarkStart w:id="9" w:name="_Toc15096"/>
      <w:bookmarkStart w:id="10" w:name="_Toc31394"/>
      <w:r>
        <w:rPr>
          <w:rFonts w:hint="eastAsia" w:asciiTheme="minorEastAsia" w:hAnsiTheme="minorEastAsia" w:eastAsiaTheme="minorEastAsia" w:cstheme="minorEastAsia"/>
          <w:b/>
          <w:bCs/>
          <w:color w:val="auto"/>
          <w:sz w:val="30"/>
          <w:szCs w:val="30"/>
          <w:lang w:val="en-US" w:eastAsia="zh-CN"/>
        </w:rPr>
        <w:t>2022级</w:t>
      </w:r>
      <w:r>
        <w:rPr>
          <w:rFonts w:hint="eastAsia" w:asciiTheme="minorEastAsia" w:hAnsiTheme="minorEastAsia" w:eastAsiaTheme="minorEastAsia" w:cstheme="minorEastAsia"/>
          <w:b/>
          <w:bCs/>
          <w:color w:val="auto"/>
          <w:sz w:val="30"/>
          <w:szCs w:val="30"/>
        </w:rPr>
        <w:t>人才培养方案</w:t>
      </w:r>
      <w:bookmarkEnd w:id="8"/>
      <w:bookmarkEnd w:id="9"/>
      <w:bookmarkEnd w:id="10"/>
    </w:p>
    <w:p>
      <w:pPr>
        <w:keepNext w:val="0"/>
        <w:keepLines w:val="0"/>
        <w:pageBreakBefore w:val="0"/>
        <w:widowControl w:val="0"/>
        <w:kinsoku/>
        <w:wordWrap/>
        <w:overflowPunct/>
        <w:topLinePunct w:val="0"/>
        <w:autoSpaceDE/>
        <w:autoSpaceDN/>
        <w:bidi w:val="0"/>
        <w:adjustRightInd/>
        <w:snapToGrid/>
        <w:ind w:firstLine="744" w:firstLineChars="247"/>
        <w:textAlignment w:val="auto"/>
        <w:outlineLvl w:val="9"/>
        <w:rPr>
          <w:b/>
          <w:color w:val="auto"/>
          <w:sz w:val="30"/>
          <w:szCs w:val="30"/>
        </w:rPr>
      </w:pPr>
      <w:r>
        <w:rPr>
          <w:rFonts w:hint="eastAsia"/>
          <w:b/>
          <w:color w:val="auto"/>
          <w:sz w:val="30"/>
          <w:szCs w:val="30"/>
        </w:rPr>
        <w:t xml:space="preserve"> </w:t>
      </w:r>
    </w:p>
    <w:p>
      <w:pPr>
        <w:keepNext w:val="0"/>
        <w:keepLines w:val="0"/>
        <w:pageBreakBefore w:val="0"/>
        <w:widowControl w:val="0"/>
        <w:kinsoku/>
        <w:wordWrap/>
        <w:overflowPunct/>
        <w:topLinePunct w:val="0"/>
        <w:autoSpaceDE/>
        <w:autoSpaceDN/>
        <w:bidi w:val="0"/>
        <w:adjustRightInd/>
        <w:snapToGrid/>
        <w:ind w:firstLine="1188" w:firstLineChars="396"/>
        <w:textAlignment w:val="auto"/>
        <w:outlineLvl w:val="9"/>
        <w:rPr>
          <w:rFonts w:hint="default" w:eastAsia="宋体"/>
          <w:color w:val="auto"/>
          <w:sz w:val="30"/>
          <w:szCs w:val="30"/>
          <w:lang w:val="en-US" w:eastAsia="zh-CN"/>
        </w:rPr>
      </w:pPr>
      <w:bookmarkStart w:id="11" w:name="_Toc21902"/>
      <w:bookmarkStart w:id="12" w:name="_Toc20653"/>
      <w:bookmarkStart w:id="13" w:name="_Toc24557"/>
      <w:r>
        <w:rPr>
          <w:rFonts w:hint="eastAsia"/>
          <w:color w:val="auto"/>
          <w:sz w:val="30"/>
          <w:szCs w:val="30"/>
        </w:rPr>
        <w:t>执笔人：</w:t>
      </w:r>
      <w:bookmarkEnd w:id="11"/>
      <w:bookmarkEnd w:id="12"/>
      <w:bookmarkEnd w:id="13"/>
      <w:r>
        <w:rPr>
          <w:rFonts w:hint="eastAsia"/>
          <w:color w:val="auto"/>
          <w:sz w:val="30"/>
          <w:szCs w:val="30"/>
          <w:lang w:val="en-US" w:eastAsia="zh-CN"/>
        </w:rPr>
        <w:t>李惠文</w:t>
      </w:r>
    </w:p>
    <w:p>
      <w:pPr>
        <w:keepNext w:val="0"/>
        <w:keepLines w:val="0"/>
        <w:pageBreakBefore w:val="0"/>
        <w:widowControl w:val="0"/>
        <w:kinsoku/>
        <w:wordWrap/>
        <w:overflowPunct/>
        <w:topLinePunct w:val="0"/>
        <w:autoSpaceDE/>
        <w:autoSpaceDN/>
        <w:bidi w:val="0"/>
        <w:adjustRightInd/>
        <w:snapToGrid/>
        <w:textAlignment w:val="auto"/>
        <w:outlineLvl w:val="9"/>
        <w:rPr>
          <w:color w:val="auto"/>
          <w:sz w:val="30"/>
          <w:szCs w:val="30"/>
        </w:rPr>
      </w:pPr>
    </w:p>
    <w:p>
      <w:pPr>
        <w:keepNext w:val="0"/>
        <w:keepLines w:val="0"/>
        <w:pageBreakBefore w:val="0"/>
        <w:widowControl w:val="0"/>
        <w:kinsoku/>
        <w:wordWrap/>
        <w:overflowPunct/>
        <w:topLinePunct w:val="0"/>
        <w:autoSpaceDE/>
        <w:autoSpaceDN/>
        <w:bidi w:val="0"/>
        <w:adjustRightInd/>
        <w:snapToGrid/>
        <w:ind w:firstLine="1191" w:firstLineChars="397"/>
        <w:textAlignment w:val="auto"/>
        <w:outlineLvl w:val="9"/>
        <w:rPr>
          <w:color w:val="auto"/>
          <w:sz w:val="30"/>
          <w:szCs w:val="30"/>
        </w:rPr>
      </w:pPr>
      <w:bookmarkStart w:id="14" w:name="_Toc3311"/>
      <w:bookmarkStart w:id="15" w:name="_Toc6207"/>
      <w:bookmarkStart w:id="16" w:name="_Toc13629"/>
      <w:r>
        <w:rPr>
          <w:rFonts w:hint="eastAsia"/>
          <w:color w:val="auto"/>
          <w:sz w:val="30"/>
          <w:szCs w:val="30"/>
        </w:rPr>
        <w:t>学校审核人</w:t>
      </w:r>
      <w:bookmarkEnd w:id="14"/>
      <w:bookmarkEnd w:id="15"/>
      <w:bookmarkEnd w:id="16"/>
    </w:p>
    <w:p>
      <w:pPr>
        <w:keepNext w:val="0"/>
        <w:keepLines w:val="0"/>
        <w:pageBreakBefore w:val="0"/>
        <w:widowControl w:val="0"/>
        <w:kinsoku/>
        <w:wordWrap/>
        <w:overflowPunct/>
        <w:topLinePunct w:val="0"/>
        <w:autoSpaceDE/>
        <w:autoSpaceDN/>
        <w:bidi w:val="0"/>
        <w:adjustRightInd/>
        <w:snapToGrid/>
        <w:textAlignment w:val="auto"/>
        <w:outlineLvl w:val="9"/>
        <w:rPr>
          <w:rFonts w:hint="default" w:eastAsia="宋体"/>
          <w:color w:val="auto"/>
          <w:sz w:val="30"/>
          <w:szCs w:val="30"/>
          <w:lang w:val="en-US" w:eastAsia="zh-CN"/>
        </w:rPr>
      </w:pPr>
      <w:r>
        <w:rPr>
          <w:rFonts w:hint="eastAsia"/>
          <w:color w:val="auto"/>
          <w:sz w:val="30"/>
          <w:szCs w:val="30"/>
        </w:rPr>
        <w:t xml:space="preserve">        </w:t>
      </w:r>
      <w:bookmarkStart w:id="17" w:name="_Toc30586"/>
      <w:bookmarkStart w:id="18" w:name="_Toc4619"/>
      <w:bookmarkStart w:id="19" w:name="_Toc5176"/>
      <w:r>
        <w:rPr>
          <w:rFonts w:hint="eastAsia"/>
          <w:color w:val="auto"/>
          <w:sz w:val="30"/>
          <w:szCs w:val="30"/>
        </w:rPr>
        <w:t>专业部：</w:t>
      </w:r>
      <w:bookmarkEnd w:id="17"/>
      <w:bookmarkEnd w:id="18"/>
      <w:bookmarkEnd w:id="19"/>
      <w:r>
        <w:rPr>
          <w:rFonts w:hint="eastAsia"/>
          <w:color w:val="auto"/>
          <w:sz w:val="30"/>
          <w:szCs w:val="30"/>
          <w:lang w:val="en-US" w:eastAsia="zh-CN"/>
        </w:rPr>
        <w:t>杨永照</w:t>
      </w:r>
    </w:p>
    <w:p>
      <w:pPr>
        <w:keepNext w:val="0"/>
        <w:keepLines w:val="0"/>
        <w:pageBreakBefore w:val="0"/>
        <w:widowControl w:val="0"/>
        <w:kinsoku/>
        <w:wordWrap/>
        <w:overflowPunct/>
        <w:topLinePunct w:val="0"/>
        <w:autoSpaceDE/>
        <w:autoSpaceDN/>
        <w:bidi w:val="0"/>
        <w:adjustRightInd/>
        <w:snapToGrid/>
        <w:textAlignment w:val="auto"/>
        <w:outlineLvl w:val="9"/>
        <w:rPr>
          <w:rFonts w:hint="default" w:eastAsia="宋体"/>
          <w:color w:val="auto"/>
          <w:sz w:val="30"/>
          <w:szCs w:val="30"/>
          <w:lang w:val="en-US" w:eastAsia="zh-CN"/>
        </w:rPr>
      </w:pPr>
      <w:r>
        <w:rPr>
          <w:rFonts w:hint="eastAsia"/>
          <w:color w:val="auto"/>
          <w:sz w:val="30"/>
          <w:szCs w:val="30"/>
        </w:rPr>
        <w:t xml:space="preserve">        </w:t>
      </w:r>
      <w:bookmarkStart w:id="20" w:name="_Toc24703"/>
      <w:bookmarkStart w:id="21" w:name="_Toc21393"/>
      <w:bookmarkStart w:id="22" w:name="_Toc945"/>
      <w:r>
        <w:rPr>
          <w:rFonts w:hint="eastAsia"/>
          <w:color w:val="auto"/>
          <w:sz w:val="30"/>
          <w:szCs w:val="30"/>
        </w:rPr>
        <w:t>教</w:t>
      </w:r>
      <w:r>
        <w:rPr>
          <w:rFonts w:hint="eastAsia"/>
          <w:color w:val="auto"/>
          <w:sz w:val="30"/>
          <w:szCs w:val="30"/>
          <w:lang w:val="en-US" w:eastAsia="zh-CN"/>
        </w:rPr>
        <w:t>学部门</w:t>
      </w:r>
      <w:r>
        <w:rPr>
          <w:rFonts w:hint="eastAsia"/>
          <w:color w:val="auto"/>
          <w:sz w:val="30"/>
          <w:szCs w:val="30"/>
        </w:rPr>
        <w:t>：</w:t>
      </w:r>
      <w:bookmarkEnd w:id="20"/>
      <w:bookmarkEnd w:id="21"/>
      <w:bookmarkEnd w:id="22"/>
      <w:r>
        <w:rPr>
          <w:rFonts w:hint="eastAsia"/>
          <w:color w:val="auto"/>
          <w:sz w:val="30"/>
          <w:szCs w:val="30"/>
          <w:lang w:val="en-US" w:eastAsia="zh-CN"/>
        </w:rPr>
        <w:t>罗能海</w:t>
      </w:r>
    </w:p>
    <w:p>
      <w:pPr>
        <w:keepNext w:val="0"/>
        <w:keepLines w:val="0"/>
        <w:pageBreakBefore w:val="0"/>
        <w:widowControl w:val="0"/>
        <w:kinsoku/>
        <w:wordWrap/>
        <w:overflowPunct/>
        <w:topLinePunct w:val="0"/>
        <w:autoSpaceDE/>
        <w:autoSpaceDN/>
        <w:bidi w:val="0"/>
        <w:adjustRightInd/>
        <w:snapToGrid/>
        <w:textAlignment w:val="auto"/>
        <w:outlineLvl w:val="9"/>
        <w:rPr>
          <w:color w:val="auto"/>
          <w:sz w:val="30"/>
          <w:szCs w:val="30"/>
        </w:rPr>
      </w:pPr>
      <w:r>
        <w:rPr>
          <w:rFonts w:hint="eastAsia" w:eastAsia="宋体"/>
          <w:color w:val="auto"/>
          <w:sz w:val="30"/>
          <w:szCs w:val="30"/>
          <w:lang w:eastAsia="zh-CN"/>
        </w:rPr>
        <w:drawing>
          <wp:anchor distT="0" distB="0" distL="114300" distR="114300" simplePos="0" relativeHeight="251666432" behindDoc="0" locked="0" layoutInCell="1" allowOverlap="1">
            <wp:simplePos x="0" y="0"/>
            <wp:positionH relativeFrom="column">
              <wp:posOffset>1550035</wp:posOffset>
            </wp:positionH>
            <wp:positionV relativeFrom="paragraph">
              <wp:posOffset>114300</wp:posOffset>
            </wp:positionV>
            <wp:extent cx="1945005" cy="1903730"/>
            <wp:effectExtent l="0" t="0" r="0" b="0"/>
            <wp:wrapNone/>
            <wp:docPr id="8" name="图片 5" descr="党委公章（透明无背景暗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descr="党委公章（透明无背景暗红）"/>
                    <pic:cNvPicPr>
                      <a:picLocks noChangeAspect="1"/>
                    </pic:cNvPicPr>
                  </pic:nvPicPr>
                  <pic:blipFill>
                    <a:blip r:embed="rId7"/>
                    <a:stretch>
                      <a:fillRect/>
                    </a:stretch>
                  </pic:blipFill>
                  <pic:spPr>
                    <a:xfrm>
                      <a:off x="0" y="0"/>
                      <a:ext cx="1945005" cy="1903730"/>
                    </a:xfrm>
                    <a:prstGeom prst="rect">
                      <a:avLst/>
                    </a:prstGeom>
                    <a:noFill/>
                    <a:ln>
                      <a:noFill/>
                    </a:ln>
                  </pic:spPr>
                </pic:pic>
              </a:graphicData>
            </a:graphic>
          </wp:anchor>
        </w:drawing>
      </w:r>
      <w:r>
        <w:rPr>
          <w:rFonts w:hint="eastAsia"/>
          <w:color w:val="auto"/>
          <w:sz w:val="30"/>
          <w:szCs w:val="30"/>
        </w:rPr>
        <w:t xml:space="preserve">        </w:t>
      </w:r>
      <w:bookmarkStart w:id="23" w:name="_Toc21643"/>
      <w:bookmarkStart w:id="24" w:name="_Toc16150"/>
      <w:bookmarkStart w:id="25" w:name="_Toc32057"/>
      <w:r>
        <w:rPr>
          <w:rFonts w:hint="eastAsia"/>
          <w:color w:val="auto"/>
          <w:sz w:val="30"/>
          <w:szCs w:val="30"/>
        </w:rPr>
        <w:t>教学副校长：曾晓平</w:t>
      </w:r>
      <w:bookmarkEnd w:id="23"/>
      <w:bookmarkEnd w:id="24"/>
      <w:bookmarkEnd w:id="25"/>
    </w:p>
    <w:p>
      <w:pPr>
        <w:keepNext w:val="0"/>
        <w:keepLines w:val="0"/>
        <w:pageBreakBefore w:val="0"/>
        <w:widowControl w:val="0"/>
        <w:kinsoku/>
        <w:wordWrap/>
        <w:overflowPunct/>
        <w:topLinePunct w:val="0"/>
        <w:autoSpaceDE/>
        <w:autoSpaceDN/>
        <w:bidi w:val="0"/>
        <w:adjustRightInd/>
        <w:snapToGrid/>
        <w:textAlignment w:val="auto"/>
        <w:outlineLvl w:val="9"/>
        <w:rPr>
          <w:color w:val="auto"/>
          <w:sz w:val="30"/>
          <w:szCs w:val="30"/>
        </w:rPr>
      </w:pPr>
      <w:r>
        <w:rPr>
          <w:rFonts w:hint="eastAsia"/>
          <w:color w:val="auto"/>
          <w:sz w:val="30"/>
          <w:szCs w:val="30"/>
        </w:rPr>
        <w:t xml:space="preserve">      </w:t>
      </w:r>
    </w:p>
    <w:p>
      <w:pPr>
        <w:keepNext w:val="0"/>
        <w:keepLines w:val="0"/>
        <w:pageBreakBefore w:val="0"/>
        <w:widowControl w:val="0"/>
        <w:kinsoku/>
        <w:wordWrap/>
        <w:overflowPunct/>
        <w:topLinePunct w:val="0"/>
        <w:autoSpaceDE/>
        <w:autoSpaceDN/>
        <w:bidi w:val="0"/>
        <w:adjustRightInd/>
        <w:snapToGrid/>
        <w:ind w:firstLine="1038" w:firstLineChars="346"/>
        <w:textAlignment w:val="auto"/>
        <w:outlineLvl w:val="9"/>
        <w:rPr>
          <w:rFonts w:hint="default" w:eastAsia="宋体"/>
          <w:color w:val="auto"/>
          <w:sz w:val="30"/>
          <w:szCs w:val="30"/>
          <w:lang w:val="en-US" w:eastAsia="zh-CN"/>
        </w:rPr>
      </w:pPr>
      <w:bookmarkStart w:id="26" w:name="_Toc26588"/>
      <w:bookmarkStart w:id="27" w:name="_Toc10937"/>
      <w:bookmarkStart w:id="28" w:name="_Toc17503"/>
      <w:r>
        <w:rPr>
          <w:rFonts w:hint="eastAsia"/>
          <w:color w:val="auto"/>
          <w:sz w:val="30"/>
          <w:szCs w:val="30"/>
        </w:rPr>
        <w:t>企业审核人：</w:t>
      </w:r>
      <w:bookmarkEnd w:id="26"/>
      <w:bookmarkEnd w:id="27"/>
      <w:bookmarkEnd w:id="28"/>
      <w:r>
        <w:rPr>
          <w:rFonts w:hint="eastAsia"/>
          <w:color w:val="auto"/>
          <w:sz w:val="30"/>
          <w:szCs w:val="30"/>
          <w:lang w:val="en-US" w:eastAsia="zh-CN"/>
        </w:rPr>
        <w:t>祁亮</w:t>
      </w:r>
    </w:p>
    <w:p>
      <w:pPr>
        <w:keepNext w:val="0"/>
        <w:keepLines w:val="0"/>
        <w:pageBreakBefore w:val="0"/>
        <w:widowControl w:val="0"/>
        <w:kinsoku/>
        <w:wordWrap/>
        <w:overflowPunct/>
        <w:topLinePunct w:val="0"/>
        <w:autoSpaceDE/>
        <w:autoSpaceDN/>
        <w:bidi w:val="0"/>
        <w:adjustRightInd/>
        <w:snapToGrid/>
        <w:textAlignment w:val="auto"/>
        <w:outlineLvl w:val="9"/>
        <w:rPr>
          <w:color w:val="auto"/>
          <w:sz w:val="30"/>
          <w:szCs w:val="30"/>
        </w:rPr>
      </w:pPr>
      <w:r>
        <w:rPr>
          <w:rFonts w:hint="eastAsia"/>
          <w:color w:val="auto"/>
          <w:sz w:val="30"/>
          <w:szCs w:val="30"/>
        </w:rPr>
        <w:t xml:space="preserve">           </w:t>
      </w:r>
    </w:p>
    <w:p>
      <w:pPr>
        <w:keepNext w:val="0"/>
        <w:keepLines w:val="0"/>
        <w:pageBreakBefore w:val="0"/>
        <w:widowControl w:val="0"/>
        <w:kinsoku/>
        <w:wordWrap/>
        <w:overflowPunct/>
        <w:topLinePunct w:val="0"/>
        <w:autoSpaceDE/>
        <w:autoSpaceDN/>
        <w:bidi w:val="0"/>
        <w:adjustRightInd/>
        <w:snapToGrid/>
        <w:ind w:firstLine="1038" w:firstLineChars="346"/>
        <w:textAlignment w:val="auto"/>
        <w:outlineLvl w:val="9"/>
        <w:rPr>
          <w:rFonts w:hint="default" w:eastAsia="宋体"/>
          <w:color w:val="auto"/>
          <w:sz w:val="30"/>
          <w:szCs w:val="30"/>
          <w:lang w:val="en-US" w:eastAsia="zh-CN"/>
        </w:rPr>
      </w:pPr>
      <w:bookmarkStart w:id="29" w:name="_Toc12601"/>
      <w:bookmarkStart w:id="30" w:name="_Toc864"/>
      <w:bookmarkStart w:id="31" w:name="_Toc18284"/>
      <w:r>
        <w:rPr>
          <w:rFonts w:hint="eastAsia"/>
          <w:color w:val="auto"/>
          <w:sz w:val="30"/>
          <w:szCs w:val="30"/>
        </w:rPr>
        <w:t>审定人：</w:t>
      </w:r>
      <w:bookmarkEnd w:id="29"/>
      <w:bookmarkEnd w:id="30"/>
      <w:bookmarkEnd w:id="31"/>
      <w:r>
        <w:rPr>
          <w:rFonts w:hint="eastAsia"/>
          <w:color w:val="auto"/>
          <w:sz w:val="30"/>
          <w:szCs w:val="30"/>
          <w:lang w:val="en-US" w:eastAsia="zh-CN"/>
        </w:rPr>
        <w:t>何江华</w:t>
      </w:r>
    </w:p>
    <w:p>
      <w:pPr>
        <w:keepNext w:val="0"/>
        <w:keepLines w:val="0"/>
        <w:pageBreakBefore w:val="0"/>
        <w:widowControl w:val="0"/>
        <w:kinsoku/>
        <w:wordWrap/>
        <w:overflowPunct/>
        <w:topLinePunct w:val="0"/>
        <w:autoSpaceDE/>
        <w:autoSpaceDN/>
        <w:bidi w:val="0"/>
        <w:adjustRightInd/>
        <w:snapToGrid/>
        <w:textAlignment w:val="auto"/>
        <w:outlineLvl w:val="9"/>
        <w:rPr>
          <w:color w:val="auto"/>
          <w:sz w:val="30"/>
          <w:szCs w:val="30"/>
        </w:rPr>
      </w:pPr>
      <w:r>
        <w:rPr>
          <w:rFonts w:hint="eastAsia"/>
          <w:color w:val="auto"/>
          <w:sz w:val="30"/>
          <w:szCs w:val="30"/>
        </w:rPr>
        <w:t xml:space="preserve">            </w:t>
      </w:r>
    </w:p>
    <w:p>
      <w:pPr>
        <w:keepNext w:val="0"/>
        <w:keepLines w:val="0"/>
        <w:pageBreakBefore w:val="0"/>
        <w:widowControl w:val="0"/>
        <w:kinsoku/>
        <w:wordWrap/>
        <w:overflowPunct/>
        <w:topLinePunct w:val="0"/>
        <w:autoSpaceDE/>
        <w:autoSpaceDN/>
        <w:bidi w:val="0"/>
        <w:adjustRightInd/>
        <w:snapToGrid/>
        <w:ind w:firstLine="3150" w:firstLineChars="1046"/>
        <w:textAlignment w:val="auto"/>
        <w:outlineLvl w:val="9"/>
        <w:rPr>
          <w:rFonts w:hint="eastAsia"/>
          <w:b/>
          <w:color w:val="auto"/>
          <w:sz w:val="30"/>
          <w:szCs w:val="30"/>
        </w:rPr>
      </w:pPr>
      <w:bookmarkStart w:id="32" w:name="_Toc20836"/>
      <w:bookmarkStart w:id="33" w:name="_Toc19558"/>
      <w:bookmarkStart w:id="34" w:name="_Toc1594"/>
      <w:r>
        <w:rPr>
          <w:rFonts w:hint="eastAsia"/>
          <w:b/>
          <w:color w:val="auto"/>
          <w:sz w:val="30"/>
          <w:szCs w:val="30"/>
        </w:rPr>
        <w:t>二〇二</w:t>
      </w:r>
      <w:r>
        <w:rPr>
          <w:rFonts w:hint="eastAsia"/>
          <w:b/>
          <w:color w:val="auto"/>
          <w:sz w:val="30"/>
          <w:szCs w:val="30"/>
          <w:lang w:val="en-US" w:eastAsia="zh-CN"/>
        </w:rPr>
        <w:t>二</w:t>
      </w:r>
      <w:r>
        <w:rPr>
          <w:rFonts w:hint="eastAsia"/>
          <w:b/>
          <w:color w:val="auto"/>
          <w:sz w:val="30"/>
          <w:szCs w:val="30"/>
        </w:rPr>
        <w:t>年</w:t>
      </w:r>
      <w:r>
        <w:rPr>
          <w:rFonts w:hint="eastAsia"/>
          <w:b/>
          <w:color w:val="auto"/>
          <w:sz w:val="30"/>
          <w:szCs w:val="30"/>
          <w:lang w:val="en-US" w:eastAsia="zh-CN"/>
        </w:rPr>
        <w:t>六</w:t>
      </w:r>
      <w:r>
        <w:rPr>
          <w:rFonts w:hint="eastAsia"/>
          <w:b/>
          <w:color w:val="auto"/>
          <w:sz w:val="30"/>
          <w:szCs w:val="30"/>
        </w:rPr>
        <w:t>月</w:t>
      </w:r>
      <w:bookmarkEnd w:id="32"/>
      <w:bookmarkEnd w:id="33"/>
      <w:bookmarkEnd w:id="34"/>
    </w:p>
    <w:p/>
    <w:p>
      <w:pPr>
        <w:spacing w:line="360" w:lineRule="auto"/>
        <w:jc w:val="center"/>
        <w:rPr>
          <w:rFonts w:hint="eastAsia" w:ascii="宋体" w:hAnsi="宋体" w:eastAsia="宋体" w:cs="宋体"/>
          <w:b/>
          <w:bCs/>
          <w:sz w:val="30"/>
          <w:szCs w:val="30"/>
        </w:rPr>
      </w:pPr>
    </w:p>
    <w:p>
      <w:pPr>
        <w:spacing w:line="360" w:lineRule="auto"/>
        <w:jc w:val="center"/>
        <w:rPr>
          <w:rFonts w:hint="eastAsia" w:ascii="宋体" w:hAnsi="宋体" w:eastAsia="宋体" w:cs="宋体"/>
          <w:b/>
          <w:bCs/>
          <w:sz w:val="30"/>
          <w:szCs w:val="30"/>
        </w:rPr>
      </w:pPr>
    </w:p>
    <w:p>
      <w:pPr>
        <w:spacing w:line="360" w:lineRule="auto"/>
        <w:jc w:val="center"/>
        <w:rPr>
          <w:rFonts w:hint="eastAsia" w:ascii="宋体" w:hAnsi="宋体" w:eastAsia="宋体" w:cs="宋体"/>
          <w:b/>
          <w:bCs/>
          <w:sz w:val="30"/>
          <w:szCs w:val="30"/>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Theme="minorEastAsia" w:hAnsiTheme="minorEastAsia" w:eastAsiaTheme="minorEastAsia" w:cstheme="minorEastAsia"/>
          <w:b/>
          <w:bCs/>
          <w:color w:val="auto"/>
          <w:sz w:val="30"/>
          <w:szCs w:val="30"/>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Theme="minorEastAsia" w:hAnsiTheme="minorEastAsia" w:eastAsiaTheme="minorEastAsia" w:cstheme="minorEastAsia"/>
          <w:b/>
          <w:bCs/>
          <w:color w:val="auto"/>
          <w:sz w:val="30"/>
          <w:szCs w:val="30"/>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Theme="minorEastAsia" w:hAnsiTheme="minorEastAsia" w:eastAsiaTheme="minorEastAsia" w:cstheme="minorEastAsia"/>
          <w:b/>
          <w:bCs/>
          <w:color w:val="auto"/>
          <w:sz w:val="30"/>
          <w:szCs w:val="30"/>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Theme="minorEastAsia" w:hAnsiTheme="minorEastAsia" w:eastAsiaTheme="minorEastAsia" w:cstheme="minorEastAsia"/>
          <w:b/>
          <w:bCs/>
          <w:color w:val="auto"/>
          <w:sz w:val="30"/>
          <w:szCs w:val="30"/>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Theme="minorEastAsia" w:hAnsiTheme="minorEastAsia" w:eastAsiaTheme="minorEastAsia" w:cstheme="minorEastAsia"/>
          <w:b/>
          <w:bCs/>
          <w:color w:val="auto"/>
          <w:sz w:val="30"/>
          <w:szCs w:val="30"/>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Theme="minorEastAsia" w:hAnsiTheme="minorEastAsia" w:eastAsiaTheme="minorEastAsia" w:cstheme="minorEastAsia"/>
          <w:b/>
          <w:bCs/>
          <w:color w:val="auto"/>
          <w:sz w:val="30"/>
          <w:szCs w:val="30"/>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Theme="minorEastAsia" w:hAnsiTheme="minorEastAsia" w:eastAsiaTheme="minorEastAsia" w:cstheme="minorEastAsia"/>
          <w:b/>
          <w:bCs/>
          <w:color w:val="auto"/>
          <w:sz w:val="30"/>
          <w:szCs w:val="30"/>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Theme="minorEastAsia" w:hAnsiTheme="minorEastAsia" w:eastAsiaTheme="minorEastAsia" w:cstheme="minorEastAsia"/>
          <w:b/>
          <w:bCs/>
          <w:color w:val="auto"/>
          <w:sz w:val="30"/>
          <w:szCs w:val="30"/>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Theme="minorEastAsia" w:hAnsiTheme="minorEastAsia" w:eastAsiaTheme="minorEastAsia" w:cstheme="minorEastAsia"/>
          <w:b/>
          <w:bCs/>
          <w:color w:val="auto"/>
          <w:sz w:val="30"/>
          <w:szCs w:val="30"/>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Theme="minorEastAsia" w:hAnsiTheme="minorEastAsia" w:eastAsiaTheme="minorEastAsia" w:cstheme="minorEastAsia"/>
          <w:b/>
          <w:bCs/>
          <w:color w:val="auto"/>
          <w:sz w:val="30"/>
          <w:szCs w:val="30"/>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Theme="minorEastAsia" w:hAnsiTheme="minorEastAsia" w:eastAsiaTheme="minorEastAsia" w:cstheme="minorEastAsia"/>
          <w:b/>
          <w:bCs/>
          <w:color w:val="auto"/>
          <w:sz w:val="30"/>
          <w:szCs w:val="30"/>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Theme="minorEastAsia" w:hAnsiTheme="minorEastAsia" w:eastAsiaTheme="minorEastAsia" w:cstheme="minorEastAsia"/>
          <w:b/>
          <w:bCs/>
          <w:color w:val="auto"/>
          <w:sz w:val="30"/>
          <w:szCs w:val="30"/>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Theme="minorEastAsia" w:hAnsiTheme="minorEastAsia" w:eastAsiaTheme="minorEastAsia" w:cstheme="minorEastAsia"/>
          <w:b/>
          <w:bCs/>
          <w:color w:val="auto"/>
          <w:sz w:val="30"/>
          <w:szCs w:val="30"/>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Theme="minorEastAsia" w:hAnsiTheme="minorEastAsia" w:eastAsiaTheme="minorEastAsia" w:cstheme="minorEastAsia"/>
          <w:b/>
          <w:bCs/>
          <w:color w:val="auto"/>
          <w:sz w:val="30"/>
          <w:szCs w:val="30"/>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黑体" w:hAnsi="黑体" w:eastAsia="黑体" w:cs="黑体"/>
          <w:b w:val="0"/>
          <w:bCs w:val="0"/>
          <w:color w:val="auto"/>
          <w:sz w:val="32"/>
          <w:szCs w:val="32"/>
        </w:rPr>
      </w:pPr>
      <w:r>
        <w:rPr>
          <w:color w:val="auto"/>
        </w:rPr>
        <w:drawing>
          <wp:anchor distT="0" distB="0" distL="114300" distR="114300" simplePos="0" relativeHeight="251661312" behindDoc="1" locked="0" layoutInCell="1" allowOverlap="1">
            <wp:simplePos x="0" y="0"/>
            <wp:positionH relativeFrom="column">
              <wp:posOffset>2712720</wp:posOffset>
            </wp:positionH>
            <wp:positionV relativeFrom="paragraph">
              <wp:posOffset>-139065</wp:posOffset>
            </wp:positionV>
            <wp:extent cx="1843405" cy="1761490"/>
            <wp:effectExtent l="0" t="0" r="635" b="6350"/>
            <wp:wrapNone/>
            <wp:docPr id="2" name="IM 1"/>
            <wp:cNvGraphicFramePr/>
            <a:graphic xmlns:a="http://schemas.openxmlformats.org/drawingml/2006/main">
              <a:graphicData uri="http://schemas.openxmlformats.org/drawingml/2006/picture">
                <pic:pic xmlns:pic="http://schemas.openxmlformats.org/drawingml/2006/picture">
                  <pic:nvPicPr>
                    <pic:cNvPr id="2" name="IM 1"/>
                    <pic:cNvPicPr/>
                  </pic:nvPicPr>
                  <pic:blipFill>
                    <a:blip r:embed="rId6"/>
                    <a:stretch>
                      <a:fillRect/>
                    </a:stretch>
                  </pic:blipFill>
                  <pic:spPr>
                    <a:xfrm>
                      <a:off x="0" y="0"/>
                      <a:ext cx="1843405" cy="1761490"/>
                    </a:xfrm>
                    <a:prstGeom prst="rect">
                      <a:avLst/>
                    </a:prstGeom>
                    <a:noFill/>
                    <a:ln>
                      <a:noFill/>
                    </a:ln>
                  </pic:spPr>
                </pic:pic>
              </a:graphicData>
            </a:graphic>
          </wp:anchor>
        </w:drawing>
      </w:r>
      <w:r>
        <w:rPr>
          <w:rFonts w:hint="eastAsia" w:asciiTheme="minorEastAsia" w:hAnsiTheme="minorEastAsia" w:eastAsiaTheme="minorEastAsia" w:cstheme="minorEastAsia"/>
          <w:b/>
          <w:bCs/>
          <w:color w:val="auto"/>
          <w:sz w:val="30"/>
          <w:szCs w:val="30"/>
        </w:rPr>
        <w:t>佛山市南海区第一职业技术学校</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Theme="minorEastAsia" w:hAnsiTheme="minorEastAsia" w:eastAsiaTheme="minorEastAsia" w:cstheme="minorEastAsia"/>
          <w:b/>
          <w:bCs/>
          <w:color w:val="auto"/>
          <w:sz w:val="30"/>
          <w:szCs w:val="30"/>
        </w:rPr>
      </w:pPr>
      <w:r>
        <w:rPr>
          <w:rFonts w:hint="eastAsia" w:asciiTheme="minorEastAsia" w:hAnsiTheme="minorEastAsia" w:eastAsiaTheme="minorEastAsia" w:cstheme="minorEastAsia"/>
          <w:b/>
          <w:bCs/>
          <w:color w:val="auto"/>
          <w:sz w:val="30"/>
          <w:szCs w:val="30"/>
          <w:lang w:val="en-US" w:eastAsia="zh-CN"/>
        </w:rPr>
        <w:t>物流服务与管理</w:t>
      </w:r>
      <w:r>
        <w:rPr>
          <w:rFonts w:hint="eastAsia" w:asciiTheme="minorEastAsia" w:hAnsiTheme="minorEastAsia" w:eastAsiaTheme="minorEastAsia" w:cstheme="minorEastAsia"/>
          <w:b/>
          <w:bCs/>
          <w:color w:val="auto"/>
          <w:sz w:val="30"/>
          <w:szCs w:val="30"/>
        </w:rPr>
        <w:t>专业</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Theme="minorEastAsia" w:hAnsiTheme="minorEastAsia" w:eastAsiaTheme="minorEastAsia" w:cstheme="minorEastAsia"/>
          <w:b/>
          <w:bCs/>
          <w:color w:val="auto"/>
          <w:sz w:val="30"/>
          <w:szCs w:val="30"/>
          <w:lang w:eastAsia="zh-CN"/>
        </w:rPr>
      </w:pPr>
      <w:r>
        <w:rPr>
          <w:rFonts w:hint="eastAsia" w:asciiTheme="minorEastAsia" w:hAnsiTheme="minorEastAsia" w:eastAsiaTheme="minorEastAsia" w:cstheme="minorEastAsia"/>
          <w:b/>
          <w:bCs/>
          <w:color w:val="auto"/>
          <w:sz w:val="30"/>
          <w:szCs w:val="30"/>
          <w:lang w:val="en-US" w:eastAsia="zh-CN"/>
        </w:rPr>
        <w:t>（2022级</w:t>
      </w:r>
      <w:r>
        <w:rPr>
          <w:rFonts w:hint="eastAsia" w:asciiTheme="minorEastAsia" w:hAnsiTheme="minorEastAsia" w:eastAsiaTheme="minorEastAsia" w:cstheme="minorEastAsia"/>
          <w:b/>
          <w:bCs/>
          <w:color w:val="auto"/>
          <w:sz w:val="30"/>
          <w:szCs w:val="30"/>
        </w:rPr>
        <w:t>人才培养方案</w:t>
      </w:r>
      <w:r>
        <w:rPr>
          <w:rFonts w:hint="eastAsia" w:asciiTheme="minorEastAsia" w:hAnsiTheme="minorEastAsia" w:eastAsiaTheme="minorEastAsia" w:cstheme="minorEastAsia"/>
          <w:b/>
          <w:bCs/>
          <w:color w:val="auto"/>
          <w:sz w:val="30"/>
          <w:szCs w:val="30"/>
          <w:lang w:eastAsia="zh-CN"/>
        </w:rPr>
        <w:t>）</w:t>
      </w:r>
    </w:p>
    <w:p>
      <w:pPr>
        <w:pStyle w:val="15"/>
        <w:overflowPunct w:val="0"/>
        <w:adjustRightInd w:val="0"/>
        <w:spacing w:line="360" w:lineRule="auto"/>
        <w:ind w:firstLine="482"/>
        <w:outlineLvl w:val="0"/>
        <w:rPr>
          <w:rFonts w:hint="eastAsia" w:ascii="宋体" w:hAnsi="宋体" w:eastAsia="宋体" w:cs="宋体"/>
          <w:b/>
          <w:bCs/>
          <w:sz w:val="24"/>
          <w:szCs w:val="24"/>
        </w:rPr>
      </w:pPr>
    </w:p>
    <w:p>
      <w:pPr>
        <w:pStyle w:val="15"/>
        <w:overflowPunct w:val="0"/>
        <w:adjustRightInd w:val="0"/>
        <w:spacing w:line="360" w:lineRule="auto"/>
        <w:ind w:firstLine="482"/>
        <w:outlineLvl w:val="0"/>
        <w:rPr>
          <w:rFonts w:hint="eastAsia" w:ascii="宋体" w:hAnsi="宋体" w:eastAsia="宋体" w:cs="宋体"/>
          <w:b/>
          <w:bCs/>
          <w:sz w:val="24"/>
          <w:szCs w:val="24"/>
        </w:rPr>
      </w:pPr>
      <w:r>
        <w:rPr>
          <w:rFonts w:hint="eastAsia" w:ascii="宋体" w:hAnsi="宋体" w:eastAsia="宋体" w:cs="宋体"/>
          <w:b/>
          <w:bCs/>
          <w:sz w:val="24"/>
          <w:szCs w:val="24"/>
        </w:rPr>
        <w:t>一、专业名称及代码</w:t>
      </w:r>
    </w:p>
    <w:p>
      <w:pPr>
        <w:overflowPunct w:val="0"/>
        <w:adjustRightInd w:val="0"/>
        <w:spacing w:line="360" w:lineRule="auto"/>
        <w:ind w:left="640"/>
        <w:outlineLvl w:val="0"/>
        <w:rPr>
          <w:rFonts w:hint="eastAsia" w:ascii="宋体" w:hAnsi="宋体" w:eastAsia="宋体" w:cs="宋体"/>
          <w:sz w:val="24"/>
          <w:szCs w:val="24"/>
        </w:rPr>
      </w:pPr>
      <w:r>
        <w:rPr>
          <w:rFonts w:hint="eastAsia" w:ascii="宋体" w:hAnsi="宋体" w:eastAsia="宋体" w:cs="宋体"/>
          <w:sz w:val="24"/>
          <w:szCs w:val="24"/>
        </w:rPr>
        <w:t>专业名称：物流服务与管理</w:t>
      </w:r>
    </w:p>
    <w:p>
      <w:pPr>
        <w:overflowPunct w:val="0"/>
        <w:adjustRightInd w:val="0"/>
        <w:spacing w:line="360" w:lineRule="auto"/>
        <w:ind w:left="640"/>
        <w:outlineLvl w:val="0"/>
        <w:rPr>
          <w:rFonts w:hint="eastAsia" w:ascii="宋体" w:hAnsi="宋体" w:eastAsia="宋体" w:cs="宋体"/>
          <w:sz w:val="24"/>
          <w:szCs w:val="24"/>
        </w:rPr>
      </w:pPr>
      <w:r>
        <w:rPr>
          <w:rFonts w:hint="eastAsia" w:ascii="宋体" w:hAnsi="宋体" w:eastAsia="宋体" w:cs="宋体"/>
          <w:sz w:val="24"/>
          <w:szCs w:val="24"/>
        </w:rPr>
        <w:t>专业代码：730801</w:t>
      </w:r>
    </w:p>
    <w:p>
      <w:pPr>
        <w:pStyle w:val="15"/>
        <w:overflowPunct w:val="0"/>
        <w:adjustRightInd w:val="0"/>
        <w:spacing w:line="360" w:lineRule="auto"/>
        <w:ind w:firstLine="482"/>
        <w:outlineLvl w:val="0"/>
        <w:rPr>
          <w:rFonts w:hint="eastAsia" w:ascii="宋体" w:hAnsi="宋体" w:eastAsia="宋体" w:cs="宋体"/>
          <w:b/>
          <w:bCs/>
          <w:sz w:val="24"/>
          <w:szCs w:val="24"/>
        </w:rPr>
      </w:pPr>
      <w:r>
        <w:rPr>
          <w:rFonts w:hint="eastAsia" w:ascii="宋体" w:hAnsi="宋体" w:eastAsia="宋体" w:cs="宋体"/>
          <w:b/>
          <w:bCs/>
          <w:sz w:val="24"/>
          <w:szCs w:val="24"/>
        </w:rPr>
        <w:t>二、入学要求</w:t>
      </w:r>
    </w:p>
    <w:p>
      <w:pPr>
        <w:pStyle w:val="7"/>
        <w:spacing w:before="75" w:beforeAutospacing="0" w:after="75" w:afterAutospacing="0" w:line="360" w:lineRule="auto"/>
        <w:ind w:left="115" w:leftChars="36" w:right="75"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初中毕业生或具有同等学力者。</w:t>
      </w:r>
    </w:p>
    <w:p>
      <w:pPr>
        <w:pStyle w:val="15"/>
        <w:overflowPunct w:val="0"/>
        <w:adjustRightInd w:val="0"/>
        <w:spacing w:line="360" w:lineRule="auto"/>
        <w:ind w:firstLine="482"/>
        <w:outlineLvl w:val="0"/>
        <w:rPr>
          <w:rFonts w:hint="eastAsia" w:ascii="宋体" w:hAnsi="宋体" w:eastAsia="宋体" w:cs="宋体"/>
          <w:b/>
          <w:bCs/>
          <w:sz w:val="24"/>
          <w:szCs w:val="24"/>
        </w:rPr>
      </w:pPr>
      <w:r>
        <w:rPr>
          <w:rFonts w:hint="eastAsia" w:ascii="宋体" w:hAnsi="宋体" w:eastAsia="宋体" w:cs="宋体"/>
          <w:b/>
          <w:bCs/>
          <w:sz w:val="24"/>
          <w:szCs w:val="24"/>
        </w:rPr>
        <w:t>三、修业年限</w:t>
      </w:r>
    </w:p>
    <w:p>
      <w:pPr>
        <w:pStyle w:val="7"/>
        <w:spacing w:before="75" w:beforeAutospacing="0" w:after="75" w:afterAutospacing="0" w:line="360" w:lineRule="auto"/>
        <w:ind w:left="115" w:leftChars="36" w:right="75"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3年。</w:t>
      </w:r>
    </w:p>
    <w:p>
      <w:pPr>
        <w:pStyle w:val="15"/>
        <w:overflowPunct w:val="0"/>
        <w:adjustRightInd w:val="0"/>
        <w:spacing w:line="360" w:lineRule="auto"/>
        <w:ind w:firstLine="482"/>
        <w:outlineLvl w:val="0"/>
        <w:rPr>
          <w:rFonts w:hint="eastAsia" w:ascii="宋体" w:hAnsi="宋体" w:eastAsia="宋体" w:cs="宋体"/>
          <w:b/>
          <w:bCs/>
          <w:sz w:val="24"/>
          <w:szCs w:val="24"/>
        </w:rPr>
      </w:pPr>
      <w:r>
        <w:rPr>
          <w:rFonts w:hint="eastAsia" w:ascii="宋体" w:hAnsi="宋体" w:eastAsia="宋体" w:cs="宋体"/>
          <w:b/>
          <w:bCs/>
          <w:sz w:val="24"/>
          <w:szCs w:val="24"/>
        </w:rPr>
        <w:t>四、职业面向</w:t>
      </w:r>
    </w:p>
    <w:tbl>
      <w:tblPr>
        <w:tblStyle w:val="9"/>
        <w:tblW w:w="8222"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701"/>
        <w:gridCol w:w="1697"/>
        <w:gridCol w:w="3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b/>
                <w:sz w:val="24"/>
                <w:szCs w:val="24"/>
              </w:rPr>
            </w:pPr>
            <w:r>
              <w:rPr>
                <w:rFonts w:hint="eastAsia" w:ascii="宋体" w:hAnsi="宋体" w:eastAsia="宋体"/>
                <w:b/>
                <w:sz w:val="24"/>
                <w:szCs w:val="24"/>
              </w:rPr>
              <w:t>所属专业大类（代码）</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b/>
                <w:szCs w:val="21"/>
              </w:rPr>
            </w:pPr>
            <w:r>
              <w:rPr>
                <w:rFonts w:hint="eastAsia" w:ascii="宋体" w:hAnsi="宋体" w:eastAsia="宋体"/>
                <w:b/>
                <w:sz w:val="24"/>
                <w:szCs w:val="24"/>
              </w:rPr>
              <w:t>所属专业类别（代码）</w:t>
            </w:r>
          </w:p>
        </w:tc>
        <w:tc>
          <w:tcPr>
            <w:tcW w:w="169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对应职业</w:t>
            </w:r>
          </w:p>
          <w:p>
            <w:pPr>
              <w:snapToGrid w:val="0"/>
              <w:spacing w:line="360" w:lineRule="auto"/>
              <w:jc w:val="center"/>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（岗位）</w:t>
            </w:r>
          </w:p>
        </w:tc>
        <w:tc>
          <w:tcPr>
            <w:tcW w:w="31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职业资格证/技能等级证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70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财经商贸</w:t>
            </w:r>
            <w:r>
              <w:rPr>
                <w:rFonts w:hint="eastAsia" w:ascii="宋体" w:hAnsi="宋体" w:eastAsia="宋体" w:cs="宋体"/>
                <w:color w:val="000000"/>
                <w:sz w:val="24"/>
                <w:szCs w:val="24"/>
                <w:lang w:val="en-US" w:eastAsia="zh-CN"/>
              </w:rPr>
              <w:t>大</w:t>
            </w:r>
            <w:r>
              <w:rPr>
                <w:rFonts w:hint="eastAsia" w:ascii="宋体" w:hAnsi="宋体" w:eastAsia="宋体" w:cs="宋体"/>
                <w:color w:val="000000"/>
                <w:sz w:val="24"/>
                <w:szCs w:val="24"/>
              </w:rPr>
              <w:t>类（</w:t>
            </w:r>
            <w:r>
              <w:rPr>
                <w:rFonts w:hint="eastAsia" w:ascii="宋体" w:hAnsi="宋体" w:eastAsia="宋体" w:cs="宋体"/>
                <w:color w:val="000000"/>
                <w:sz w:val="24"/>
                <w:szCs w:val="24"/>
                <w:lang w:val="en-US" w:eastAsia="zh-CN"/>
              </w:rPr>
              <w:t>73</w:t>
            </w:r>
            <w:r>
              <w:rPr>
                <w:rFonts w:hint="eastAsia" w:ascii="宋体" w:hAnsi="宋体" w:eastAsia="宋体" w:cs="宋体"/>
                <w:color w:val="000000"/>
                <w:sz w:val="24"/>
                <w:szCs w:val="24"/>
              </w:rPr>
              <w:t>）</w:t>
            </w:r>
          </w:p>
        </w:tc>
        <w:tc>
          <w:tcPr>
            <w:tcW w:w="170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物流类</w:t>
            </w:r>
          </w:p>
          <w:p>
            <w:pPr>
              <w:autoSpaceDE w:val="0"/>
              <w:autoSpaceDN w:val="0"/>
              <w:snapToGri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（7308）</w:t>
            </w:r>
          </w:p>
        </w:tc>
        <w:tc>
          <w:tcPr>
            <w:tcW w:w="169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szCs w:val="21"/>
              </w:rPr>
            </w:pPr>
            <w:r>
              <w:rPr>
                <w:rFonts w:hint="eastAsia" w:ascii="宋体" w:hAnsi="宋体" w:eastAsia="宋体" w:cs="宋体"/>
                <w:color w:val="000000"/>
                <w:sz w:val="24"/>
                <w:szCs w:val="24"/>
              </w:rPr>
              <w:t>仓储管理员、运输代理服务员、货运代理业务员、货运代理操作员</w:t>
            </w:r>
          </w:p>
        </w:tc>
        <w:tc>
          <w:tcPr>
            <w:tcW w:w="31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1.物流管理职业技能等级认证（初级）</w:t>
            </w:r>
          </w:p>
          <w:p>
            <w:pPr>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2.全国计算机等级考试（一级）</w:t>
            </w:r>
          </w:p>
          <w:p>
            <w:pPr>
              <w:snapToGrid w:val="0"/>
              <w:spacing w:line="360" w:lineRule="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3.叉车上岗证</w:t>
            </w:r>
          </w:p>
        </w:tc>
      </w:tr>
    </w:tbl>
    <w:p>
      <w:pPr>
        <w:pStyle w:val="15"/>
        <w:overflowPunct w:val="0"/>
        <w:adjustRightInd w:val="0"/>
        <w:spacing w:line="360" w:lineRule="auto"/>
        <w:ind w:firstLine="482"/>
        <w:outlineLvl w:val="0"/>
        <w:rPr>
          <w:rFonts w:hint="eastAsia" w:ascii="宋体" w:hAnsi="宋体" w:eastAsia="宋体" w:cs="宋体"/>
          <w:b/>
          <w:bCs/>
          <w:sz w:val="24"/>
          <w:szCs w:val="24"/>
        </w:rPr>
      </w:pPr>
    </w:p>
    <w:p>
      <w:pPr>
        <w:pStyle w:val="15"/>
        <w:overflowPunct w:val="0"/>
        <w:adjustRightInd w:val="0"/>
        <w:spacing w:line="360" w:lineRule="auto"/>
        <w:ind w:firstLine="482"/>
        <w:outlineLvl w:val="0"/>
        <w:rPr>
          <w:rFonts w:hint="eastAsia" w:ascii="宋体" w:hAnsi="宋体" w:eastAsia="宋体" w:cs="宋体"/>
          <w:b/>
          <w:bCs/>
          <w:sz w:val="24"/>
          <w:szCs w:val="24"/>
        </w:rPr>
      </w:pPr>
      <w:r>
        <w:rPr>
          <w:rFonts w:hint="eastAsia" w:ascii="宋体" w:hAnsi="宋体" w:eastAsia="宋体" w:cs="宋体"/>
          <w:b/>
          <w:bCs/>
          <w:sz w:val="24"/>
          <w:szCs w:val="24"/>
        </w:rPr>
        <w:t>五、培养目标与培养规格</w:t>
      </w:r>
    </w:p>
    <w:p>
      <w:pPr>
        <w:pStyle w:val="15"/>
        <w:overflowPunct w:val="0"/>
        <w:adjustRightInd w:val="0"/>
        <w:spacing w:line="360" w:lineRule="auto"/>
        <w:ind w:firstLine="482"/>
        <w:outlineLvl w:val="0"/>
        <w:rPr>
          <w:rFonts w:hint="eastAsia" w:ascii="宋体" w:hAnsi="宋体" w:eastAsia="宋体" w:cs="宋体"/>
          <w:b/>
          <w:bCs/>
          <w:sz w:val="24"/>
          <w:szCs w:val="24"/>
        </w:rPr>
      </w:pPr>
      <w:r>
        <w:rPr>
          <w:rFonts w:hint="eastAsia" w:ascii="宋体" w:hAnsi="宋体" w:eastAsia="宋体" w:cs="宋体"/>
          <w:b/>
          <w:bCs/>
          <w:sz w:val="24"/>
          <w:szCs w:val="24"/>
        </w:rPr>
        <w:t>（一）培养目标</w:t>
      </w:r>
    </w:p>
    <w:p>
      <w:pPr>
        <w:pStyle w:val="7"/>
        <w:spacing w:before="75" w:beforeAutospacing="0" w:after="75" w:afterAutospacing="0" w:line="360" w:lineRule="auto"/>
        <w:ind w:left="115" w:leftChars="36" w:right="75"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培养热爱社会主义祖国和社会主义事业的合格公民，适应我国社会主义现代化建设要求，德、智、体、美</w:t>
      </w:r>
      <w:r>
        <w:rPr>
          <w:rFonts w:hint="eastAsia" w:ascii="宋体" w:hAnsi="宋体" w:eastAsia="宋体" w:cs="宋体"/>
          <w:kern w:val="2"/>
          <w:sz w:val="24"/>
          <w:szCs w:val="24"/>
          <w:lang w:eastAsia="zh-CN"/>
        </w:rPr>
        <w:t>、劳</w:t>
      </w:r>
      <w:r>
        <w:rPr>
          <w:rFonts w:hint="eastAsia" w:ascii="宋体" w:hAnsi="宋体" w:eastAsia="宋体" w:cs="宋体"/>
          <w:kern w:val="2"/>
          <w:sz w:val="24"/>
          <w:szCs w:val="24"/>
        </w:rPr>
        <w:t>全面发展，具有良好的日常行为规范，掌握基层物流从业人员必需的文化基础知识，了解物流行业基本情况和物流企业运营概况，掌握仓储、配送、运输、货运代理和工厂物料管控等物流作业基本知识和初级技能，具有较好综合职业素养和能力，在生产、服务、管理一线工作的高素质劳动者和技能型人才，适应继续学习物流管理专业的需要。</w:t>
      </w:r>
    </w:p>
    <w:p>
      <w:pPr>
        <w:pStyle w:val="15"/>
        <w:overflowPunct w:val="0"/>
        <w:adjustRightInd w:val="0"/>
        <w:spacing w:line="360" w:lineRule="auto"/>
        <w:ind w:firstLine="482"/>
        <w:outlineLvl w:val="0"/>
        <w:rPr>
          <w:rFonts w:hint="eastAsia" w:ascii="宋体" w:hAnsi="宋体" w:eastAsia="宋体" w:cs="宋体"/>
          <w:b/>
          <w:bCs/>
          <w:sz w:val="24"/>
          <w:szCs w:val="24"/>
        </w:rPr>
      </w:pPr>
    </w:p>
    <w:p>
      <w:pPr>
        <w:pStyle w:val="15"/>
        <w:overflowPunct w:val="0"/>
        <w:adjustRightInd w:val="0"/>
        <w:spacing w:line="360" w:lineRule="auto"/>
        <w:ind w:firstLine="482"/>
        <w:outlineLvl w:val="0"/>
        <w:rPr>
          <w:rFonts w:hint="eastAsia" w:ascii="宋体" w:hAnsi="宋体" w:eastAsia="宋体" w:cs="宋体"/>
          <w:b/>
          <w:bCs/>
          <w:sz w:val="24"/>
          <w:szCs w:val="24"/>
        </w:rPr>
      </w:pPr>
      <w:r>
        <w:rPr>
          <w:rFonts w:hint="eastAsia" w:ascii="宋体" w:hAnsi="宋体" w:eastAsia="宋体" w:cs="宋体"/>
          <w:b/>
          <w:bCs/>
          <w:sz w:val="24"/>
          <w:szCs w:val="24"/>
        </w:rPr>
        <w:t>（二）培养规格</w:t>
      </w:r>
    </w:p>
    <w:p>
      <w:pPr>
        <w:pStyle w:val="15"/>
        <w:overflowPunct w:val="0"/>
        <w:adjustRightInd w:val="0"/>
        <w:spacing w:line="360" w:lineRule="auto"/>
        <w:ind w:firstLine="482"/>
        <w:outlineLvl w:val="0"/>
        <w:rPr>
          <w:rFonts w:hint="eastAsia" w:ascii="宋体" w:hAnsi="宋体" w:eastAsia="宋体" w:cs="宋体"/>
          <w:b/>
          <w:bCs/>
          <w:sz w:val="24"/>
          <w:szCs w:val="24"/>
        </w:rPr>
      </w:pPr>
      <w:r>
        <w:rPr>
          <w:rFonts w:hint="eastAsia" w:ascii="宋体" w:hAnsi="宋体" w:eastAsia="宋体" w:cs="宋体"/>
          <w:b/>
          <w:bCs/>
          <w:sz w:val="24"/>
          <w:szCs w:val="24"/>
        </w:rPr>
        <w:t>（1）基本素质</w:t>
      </w:r>
    </w:p>
    <w:p>
      <w:pPr>
        <w:pStyle w:val="15"/>
        <w:widowControl/>
        <w:numPr>
          <w:ilvl w:val="0"/>
          <w:numId w:val="1"/>
        </w:numPr>
        <w:spacing w:before="100" w:beforeAutospacing="1" w:after="100" w:afterAutospacing="1" w:line="360" w:lineRule="auto"/>
        <w:ind w:left="425" w:leftChars="0" w:hanging="425" w:firstLineChars="0"/>
        <w:jc w:val="left"/>
        <w:rPr>
          <w:rFonts w:hint="eastAsia" w:ascii="宋体" w:hAnsi="宋体" w:eastAsia="宋体" w:cs="宋体"/>
          <w:sz w:val="24"/>
          <w:szCs w:val="24"/>
        </w:rPr>
      </w:pPr>
      <w:r>
        <w:rPr>
          <w:rFonts w:hint="eastAsia" w:ascii="宋体" w:hAnsi="宋体" w:eastAsia="宋体" w:cs="宋体"/>
          <w:sz w:val="24"/>
          <w:szCs w:val="24"/>
        </w:rPr>
        <w:t>具有物流从业人员的精神和气质以及较强的服务意识，爱岗敬业。</w:t>
      </w:r>
    </w:p>
    <w:p>
      <w:pPr>
        <w:pStyle w:val="15"/>
        <w:widowControl/>
        <w:numPr>
          <w:ilvl w:val="0"/>
          <w:numId w:val="1"/>
        </w:numPr>
        <w:spacing w:before="100" w:beforeAutospacing="1" w:after="100" w:afterAutospacing="1" w:line="360" w:lineRule="auto"/>
        <w:ind w:left="425" w:leftChars="0" w:hanging="425" w:firstLineChars="0"/>
        <w:jc w:val="left"/>
        <w:rPr>
          <w:rFonts w:hint="eastAsia" w:ascii="宋体" w:hAnsi="宋体" w:eastAsia="宋体" w:cs="宋体"/>
          <w:sz w:val="24"/>
          <w:szCs w:val="24"/>
        </w:rPr>
      </w:pPr>
      <w:r>
        <w:rPr>
          <w:rFonts w:hint="eastAsia" w:ascii="宋体" w:hAnsi="宋体" w:eastAsia="宋体" w:cs="宋体"/>
          <w:sz w:val="24"/>
          <w:szCs w:val="24"/>
        </w:rPr>
        <w:t>了解物流企业的基本活动过程并具有一定的工作经验。</w:t>
      </w:r>
    </w:p>
    <w:p>
      <w:pPr>
        <w:pStyle w:val="15"/>
        <w:widowControl/>
        <w:numPr>
          <w:ilvl w:val="0"/>
          <w:numId w:val="1"/>
        </w:numPr>
        <w:spacing w:before="100" w:beforeAutospacing="1" w:after="100" w:afterAutospacing="1" w:line="360" w:lineRule="auto"/>
        <w:ind w:left="425" w:leftChars="0" w:hanging="425" w:firstLineChars="0"/>
        <w:jc w:val="left"/>
        <w:rPr>
          <w:rFonts w:hint="eastAsia" w:ascii="宋体" w:hAnsi="宋体" w:eastAsia="宋体" w:cs="宋体"/>
          <w:sz w:val="24"/>
          <w:szCs w:val="24"/>
        </w:rPr>
      </w:pPr>
      <w:r>
        <w:rPr>
          <w:rFonts w:hint="eastAsia" w:ascii="宋体" w:hAnsi="宋体" w:eastAsia="宋体" w:cs="宋体"/>
          <w:sz w:val="24"/>
          <w:szCs w:val="24"/>
        </w:rPr>
        <w:t>熟练运用计算机技术，能进行物流信息处理。</w:t>
      </w:r>
    </w:p>
    <w:p>
      <w:pPr>
        <w:pStyle w:val="15"/>
        <w:widowControl/>
        <w:numPr>
          <w:ilvl w:val="0"/>
          <w:numId w:val="1"/>
        </w:numPr>
        <w:spacing w:before="100" w:beforeAutospacing="1" w:after="100" w:afterAutospacing="1" w:line="360" w:lineRule="auto"/>
        <w:ind w:left="425" w:leftChars="0" w:hanging="425" w:firstLineChars="0"/>
        <w:jc w:val="left"/>
        <w:rPr>
          <w:rFonts w:hint="eastAsia" w:ascii="宋体" w:hAnsi="宋体" w:eastAsia="宋体" w:cs="宋体"/>
          <w:sz w:val="24"/>
          <w:szCs w:val="24"/>
        </w:rPr>
      </w:pPr>
      <w:r>
        <w:rPr>
          <w:rFonts w:hint="eastAsia" w:ascii="宋体" w:hAnsi="宋体" w:eastAsia="宋体" w:cs="宋体"/>
          <w:sz w:val="24"/>
          <w:szCs w:val="24"/>
        </w:rPr>
        <w:t>能够解决本专业的简单技术问题。</w:t>
      </w:r>
    </w:p>
    <w:p>
      <w:pPr>
        <w:pStyle w:val="15"/>
        <w:widowControl/>
        <w:numPr>
          <w:ilvl w:val="0"/>
          <w:numId w:val="1"/>
        </w:numPr>
        <w:spacing w:before="100" w:beforeAutospacing="1" w:after="100" w:afterAutospacing="1" w:line="360" w:lineRule="auto"/>
        <w:ind w:left="425" w:leftChars="0" w:hanging="425" w:firstLineChars="0"/>
        <w:jc w:val="left"/>
        <w:rPr>
          <w:rFonts w:hint="eastAsia" w:ascii="宋体" w:hAnsi="宋体" w:eastAsia="宋体" w:cs="宋体"/>
          <w:sz w:val="24"/>
          <w:szCs w:val="24"/>
        </w:rPr>
      </w:pPr>
      <w:r>
        <w:rPr>
          <w:rFonts w:hint="eastAsia" w:ascii="宋体" w:hAnsi="宋体" w:eastAsia="宋体" w:cs="宋体"/>
          <w:sz w:val="24"/>
          <w:szCs w:val="24"/>
        </w:rPr>
        <w:t>具有较强的商务交流、人际沟通和合作协调能力。</w:t>
      </w:r>
    </w:p>
    <w:p>
      <w:pPr>
        <w:pStyle w:val="15"/>
        <w:overflowPunct w:val="0"/>
        <w:adjustRightInd w:val="0"/>
        <w:spacing w:line="360" w:lineRule="auto"/>
        <w:ind w:firstLine="482"/>
        <w:outlineLvl w:val="0"/>
        <w:rPr>
          <w:rFonts w:hint="eastAsia" w:ascii="宋体" w:hAnsi="宋体" w:eastAsia="宋体" w:cs="宋体"/>
          <w:b/>
          <w:bCs/>
          <w:sz w:val="24"/>
          <w:szCs w:val="24"/>
        </w:rPr>
      </w:pPr>
      <w:r>
        <w:rPr>
          <w:rFonts w:hint="eastAsia" w:ascii="宋体" w:hAnsi="宋体" w:eastAsia="宋体" w:cs="宋体"/>
          <w:b/>
          <w:bCs/>
          <w:sz w:val="24"/>
          <w:szCs w:val="24"/>
        </w:rPr>
        <w:t>（2）专业技能和知识</w:t>
      </w:r>
    </w:p>
    <w:p>
      <w:pPr>
        <w:numPr>
          <w:ilvl w:val="0"/>
          <w:numId w:val="2"/>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能够解决本专业的简单技术问题，制定初步的工作计划并组织实施和评估；</w:t>
      </w:r>
    </w:p>
    <w:p>
      <w:pPr>
        <w:numPr>
          <w:ilvl w:val="0"/>
          <w:numId w:val="2"/>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熟悉仓储与配送的基本流程，对仓储与配送作业环节有整体认识，具有使用仓储与配送设备和工具的能力，具有仓库安全、返品处理和流通加工等相关作业能力；</w:t>
      </w:r>
    </w:p>
    <w:p>
      <w:pPr>
        <w:numPr>
          <w:ilvl w:val="0"/>
          <w:numId w:val="2"/>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理解国际贸易单证工作的意义，正确选择和运用贸易术语；熟练掌握各种主要进出口单证的制单技能；了解国际贸易单证的操作和管理；</w:t>
      </w:r>
    </w:p>
    <w:p>
      <w:pPr>
        <w:numPr>
          <w:ilvl w:val="0"/>
          <w:numId w:val="2"/>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了解物流信息系统的架构和功能，具有仓储、配送、运输、货代、订货等物流软件的操作和运用能力，初步具备使用条形码技术、POS系统、RFID技术、EDI、GPS/GIS等技术进行信息处理的能力；</w:t>
      </w:r>
    </w:p>
    <w:p>
      <w:pPr>
        <w:numPr>
          <w:ilvl w:val="0"/>
          <w:numId w:val="2"/>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了解运输业务的基本流程，对运输作业有整体认识，具有一定的组织运输作业的能力，能确定运输线路和审核运价，具有一定的运输保险、理赔能力，具有安排和监管现场货物装卸搬运与运输的能力，具有填制运输单证的能力；</w:t>
      </w:r>
    </w:p>
    <w:p>
      <w:pPr>
        <w:numPr>
          <w:ilvl w:val="0"/>
          <w:numId w:val="2"/>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熟练运用计算机技术，能进行物流信息的收集、分类、处理、发布；</w:t>
      </w:r>
    </w:p>
    <w:p>
      <w:pPr>
        <w:numPr>
          <w:ilvl w:val="0"/>
          <w:numId w:val="2"/>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熟练的安全作业和环保、消防能力；</w:t>
      </w:r>
    </w:p>
    <w:p>
      <w:pPr>
        <w:pStyle w:val="15"/>
        <w:overflowPunct w:val="0"/>
        <w:adjustRightInd w:val="0"/>
        <w:spacing w:line="360" w:lineRule="auto"/>
        <w:ind w:firstLine="482"/>
        <w:outlineLvl w:val="0"/>
        <w:rPr>
          <w:rFonts w:hint="eastAsia" w:ascii="宋体" w:hAnsi="宋体" w:eastAsia="宋体" w:cs="宋体"/>
          <w:b/>
          <w:bCs/>
          <w:sz w:val="24"/>
          <w:szCs w:val="24"/>
        </w:rPr>
      </w:pPr>
      <w:r>
        <w:rPr>
          <w:rFonts w:hint="eastAsia" w:ascii="宋体" w:hAnsi="宋体" w:eastAsia="宋体" w:cs="宋体"/>
          <w:b/>
          <w:bCs/>
          <w:sz w:val="24"/>
          <w:szCs w:val="24"/>
        </w:rPr>
        <w:t>六、课程设置及要求</w:t>
      </w:r>
    </w:p>
    <w:p>
      <w:pPr>
        <w:overflowPunct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主要包括公共基础课程和专业（技能）课程。</w:t>
      </w:r>
    </w:p>
    <w:p>
      <w:pPr>
        <w:pStyle w:val="15"/>
        <w:overflowPunct w:val="0"/>
        <w:adjustRightInd w:val="0"/>
        <w:spacing w:line="360" w:lineRule="auto"/>
        <w:ind w:firstLine="482"/>
        <w:outlineLvl w:val="0"/>
        <w:rPr>
          <w:rFonts w:hint="eastAsia" w:ascii="宋体" w:hAnsi="宋体" w:eastAsia="宋体" w:cs="宋体"/>
          <w:b/>
          <w:bCs/>
          <w:sz w:val="24"/>
          <w:szCs w:val="24"/>
        </w:rPr>
      </w:pPr>
      <w:r>
        <w:rPr>
          <w:rFonts w:hint="eastAsia" w:ascii="宋体" w:hAnsi="宋体" w:eastAsia="宋体" w:cs="宋体"/>
          <w:b/>
          <w:bCs/>
          <w:sz w:val="24"/>
          <w:szCs w:val="24"/>
        </w:rPr>
        <w:t>（一）公共基础课程</w:t>
      </w:r>
    </w:p>
    <w:p>
      <w:pPr>
        <w:pStyle w:val="15"/>
        <w:overflowPunct w:val="0"/>
        <w:adjustRightInd w:val="0"/>
        <w:spacing w:line="360" w:lineRule="auto"/>
        <w:ind w:firstLine="482"/>
        <w:outlineLvl w:val="0"/>
        <w:rPr>
          <w:rFonts w:hint="eastAsia" w:ascii="宋体" w:hAnsi="宋体" w:eastAsia="宋体" w:cs="宋体"/>
          <w:sz w:val="24"/>
          <w:szCs w:val="24"/>
        </w:rPr>
      </w:pPr>
      <w:r>
        <w:rPr>
          <w:rFonts w:hint="eastAsia" w:ascii="宋体" w:hAnsi="宋体" w:eastAsia="宋体" w:cs="宋体"/>
          <w:sz w:val="24"/>
          <w:szCs w:val="24"/>
        </w:rPr>
        <w:t>公共基础课包括思想政治、语文、数学、英语、体育与健康、信息技术、历史、中华优秀传统文化、职业素养、艺术、劳动教育、国家安全教育等各门课程，主要内容和教学要求如下：</w:t>
      </w:r>
    </w:p>
    <w:p>
      <w:pPr>
        <w:pStyle w:val="15"/>
        <w:overflowPunct w:val="0"/>
        <w:adjustRightInd w:val="0"/>
        <w:spacing w:line="360" w:lineRule="auto"/>
        <w:ind w:firstLine="482"/>
        <w:outlineLvl w:val="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思想政治</w:t>
      </w:r>
    </w:p>
    <w:p>
      <w:pPr>
        <w:pStyle w:val="15"/>
        <w:overflowPunct w:val="0"/>
        <w:adjustRightInd w:val="0"/>
        <w:spacing w:line="360" w:lineRule="auto"/>
        <w:ind w:firstLine="482"/>
        <w:outlineLvl w:val="0"/>
        <w:rPr>
          <w:rFonts w:hint="eastAsia" w:ascii="宋体" w:hAnsi="宋体" w:eastAsia="宋体" w:cs="宋体"/>
          <w:sz w:val="24"/>
          <w:szCs w:val="24"/>
        </w:rPr>
      </w:pPr>
      <w:r>
        <w:rPr>
          <w:rFonts w:hint="eastAsia" w:ascii="宋体" w:hAnsi="宋体" w:eastAsia="宋体" w:cs="宋体"/>
          <w:sz w:val="24"/>
          <w:szCs w:val="24"/>
        </w:rPr>
        <w:t>本课程以立德树人为根本任务，以培育思想政治学科核心素养为主导（中等职业学校思想政治学科核心素养主要包括政治认同、职业精神、法治意识、健全人格和公共参与），帮助中等职业学校学生确立正确的政治方向，坚定理想信念，厚植爱国主义情怀，提高职业道德素质、法治素养和心理健康水平，促进学生健康成长、全面发展，培养拥护中国共产党领导和我国社会主义制度、立志为中国特色社会主义事业奋斗终身的有用人才。主要内容有中国特色社会主义、心理健康与职业生涯、哲学与人生、职业道德与法治</w:t>
      </w:r>
    </w:p>
    <w:p>
      <w:pPr>
        <w:pStyle w:val="15"/>
        <w:overflowPunct w:val="0"/>
        <w:adjustRightInd w:val="0"/>
        <w:spacing w:line="360" w:lineRule="auto"/>
        <w:ind w:firstLine="482"/>
        <w:outlineLvl w:val="0"/>
        <w:rPr>
          <w:rFonts w:hint="eastAsia" w:ascii="宋体" w:hAnsi="宋体" w:eastAsia="宋体" w:cs="宋体"/>
          <w:sz w:val="24"/>
          <w:szCs w:val="24"/>
        </w:rPr>
      </w:pPr>
      <w:r>
        <w:rPr>
          <w:rFonts w:hint="eastAsia" w:ascii="宋体" w:hAnsi="宋体" w:eastAsia="宋体" w:cs="宋体"/>
          <w:sz w:val="24"/>
          <w:szCs w:val="24"/>
        </w:rPr>
        <w:t>教学过程中以课程标准为依据，落实立德树人根本任务，将培育学生的学科核心素养贯穿于教学活动全过程。在教学实践中，要遵循教育教学规律、思想政治教育规律和中职学生身心发展规律，激发学生学习兴趣，提高思想政治教学的吸引力；要坚持正确育人导向，强化价值引领，准确理解学科核心素养，科学制定教学目标，围绕议题设计活动，注重探讨式和体验性学习，加强社会实践活动，打造培育学科核心素养的社会大课堂运用现代信息技术，提高教学效率，有效提高教学质量。</w:t>
      </w:r>
    </w:p>
    <w:p>
      <w:pPr>
        <w:pStyle w:val="15"/>
        <w:overflowPunct w:val="0"/>
        <w:adjustRightInd w:val="0"/>
        <w:spacing w:line="360" w:lineRule="auto"/>
        <w:ind w:firstLine="482"/>
        <w:outlineLvl w:val="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语文</w:t>
      </w:r>
    </w:p>
    <w:p>
      <w:pPr>
        <w:pStyle w:val="15"/>
        <w:overflowPunct w:val="0"/>
        <w:adjustRightInd w:val="0"/>
        <w:spacing w:line="360" w:lineRule="auto"/>
        <w:ind w:firstLine="482"/>
        <w:outlineLvl w:val="0"/>
        <w:rPr>
          <w:rFonts w:hint="eastAsia" w:ascii="宋体" w:hAnsi="宋体" w:eastAsia="宋体" w:cs="宋体"/>
          <w:sz w:val="24"/>
          <w:szCs w:val="24"/>
        </w:rPr>
      </w:pPr>
      <w:r>
        <w:rPr>
          <w:rFonts w:hint="eastAsia" w:ascii="宋体" w:hAnsi="宋体" w:eastAsia="宋体" w:cs="宋体"/>
          <w:sz w:val="24"/>
          <w:szCs w:val="24"/>
        </w:rPr>
        <w:t>学生通过阅读与欣赏、表达与交流及语文综合实践等活动，在语言理解与运用、思维发展与提升、审美发现与鉴赏、文化传承与参与几个方面都获得持续发展，自觉弘扬社会主义核心价值观，坚定文化自信，树立正确的人生理想，涵养职业精神，为适应个人终身发展和社会发展需要提供支撑。中等职业学校语文课程由基础模块、职业模块和拓展模块构成。课程设置遵循祖国语言文字的学习规律和技术技能人才的成长规律，依据学生身心发展特点，以语文学科核心素养为统领，整体建构、系统设计。</w:t>
      </w:r>
    </w:p>
    <w:p>
      <w:pPr>
        <w:pStyle w:val="15"/>
        <w:overflowPunct w:val="0"/>
        <w:adjustRightInd w:val="0"/>
        <w:spacing w:line="360" w:lineRule="auto"/>
        <w:ind w:firstLine="482"/>
        <w:outlineLvl w:val="0"/>
        <w:rPr>
          <w:rFonts w:hint="eastAsia" w:ascii="宋体" w:hAnsi="宋体" w:eastAsia="宋体" w:cs="宋体"/>
          <w:sz w:val="24"/>
          <w:szCs w:val="24"/>
        </w:rPr>
      </w:pPr>
      <w:r>
        <w:rPr>
          <w:rFonts w:hint="eastAsia" w:ascii="宋体" w:hAnsi="宋体" w:eastAsia="宋体" w:cs="宋体"/>
          <w:sz w:val="24"/>
          <w:szCs w:val="24"/>
        </w:rPr>
        <w:t>在教学过程中坚持立德树人，发挥语文课程独特的育人功能， 整体把握语文学科核心素养，合理设计教学活动，以学生发展为本，根据学生认知特点和能力水平组织教学，体现职业教育特点，加强实践与应用中等职业学校语文课程，提高信息素养，探索信息化背景下教与学方式的转变。</w:t>
      </w:r>
    </w:p>
    <w:p>
      <w:pPr>
        <w:pStyle w:val="15"/>
        <w:overflowPunct w:val="0"/>
        <w:adjustRightInd w:val="0"/>
        <w:spacing w:line="360" w:lineRule="auto"/>
        <w:ind w:firstLine="482"/>
        <w:outlineLvl w:val="0"/>
        <w:rPr>
          <w:rFonts w:hint="eastAsia" w:ascii="宋体" w:hAnsi="宋体" w:eastAsia="宋体" w:cs="宋体"/>
          <w:sz w:val="24"/>
          <w:szCs w:val="24"/>
        </w:rPr>
      </w:pPr>
    </w:p>
    <w:p>
      <w:pPr>
        <w:pStyle w:val="15"/>
        <w:overflowPunct w:val="0"/>
        <w:adjustRightInd w:val="0"/>
        <w:spacing w:line="360" w:lineRule="auto"/>
        <w:ind w:firstLine="482"/>
        <w:outlineLvl w:val="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数学</w:t>
      </w:r>
    </w:p>
    <w:p>
      <w:pPr>
        <w:pStyle w:val="15"/>
        <w:overflowPunct w:val="0"/>
        <w:adjustRightInd w:val="0"/>
        <w:spacing w:line="360" w:lineRule="auto"/>
        <w:ind w:firstLine="482"/>
        <w:outlineLvl w:val="0"/>
        <w:rPr>
          <w:rFonts w:hint="eastAsia" w:ascii="宋体" w:hAnsi="宋体" w:eastAsia="宋体" w:cs="宋体"/>
          <w:sz w:val="24"/>
          <w:szCs w:val="24"/>
        </w:rPr>
      </w:pPr>
      <w:r>
        <w:rPr>
          <w:rFonts w:hint="eastAsia" w:ascii="宋体" w:hAnsi="宋体" w:eastAsia="宋体" w:cs="宋体"/>
          <w:sz w:val="24"/>
          <w:szCs w:val="24"/>
        </w:rPr>
        <w:t>通过数学课程的学习，使学生获得继续学习、未来工作和发展所必需的数学基础知识、基本技能、基本思想和基本活动经验，具备一定的从数学角度发现和提出问题的能力、运用数学知识和思想方法分析和解决问题的能力。提高学生学习数学的兴趣，增强学好数学的主动性和自信心，养成理性思维、敢于质疑、善于思考的科学精神和精益求精的工匠精神，加深对数学的科学价值、应用价值、文化价值和审美价值的认识。使学生逐步提高数学运算、直观想象、逻辑推理、数学抽象、数据分析和数学建模等数学学科核心素养，初步学会用数学眼光观察世界、用数学思维分析世界、用数学语言表达世界。主要内容有基础模块和拓展模块。</w:t>
      </w:r>
    </w:p>
    <w:p>
      <w:pPr>
        <w:pStyle w:val="15"/>
        <w:overflowPunct w:val="0"/>
        <w:adjustRightInd w:val="0"/>
        <w:spacing w:line="360" w:lineRule="auto"/>
        <w:ind w:firstLine="482"/>
        <w:outlineLvl w:val="0"/>
        <w:rPr>
          <w:rFonts w:hint="eastAsia" w:ascii="宋体" w:hAnsi="宋体" w:eastAsia="宋体" w:cs="宋体"/>
          <w:sz w:val="24"/>
          <w:szCs w:val="24"/>
        </w:rPr>
      </w:pPr>
      <w:r>
        <w:rPr>
          <w:rFonts w:hint="eastAsia" w:ascii="宋体" w:hAnsi="宋体" w:eastAsia="宋体" w:cs="宋体"/>
          <w:sz w:val="24"/>
          <w:szCs w:val="24"/>
        </w:rPr>
        <w:t>在教学过程中遵循数学教育规律，围绕课程目标，发展和提升数学学科核心素养，按照课程内容确定教学计划，创设教学情境，完成课程任务；教学要体现职教特色，遵循技术技能人才的成长规律；教学中要合理融入思想政治教育，引导学生增强职业道德修养，提高职业素养。</w:t>
      </w:r>
    </w:p>
    <w:p>
      <w:pPr>
        <w:pStyle w:val="15"/>
        <w:overflowPunct w:val="0"/>
        <w:adjustRightInd w:val="0"/>
        <w:spacing w:line="360" w:lineRule="auto"/>
        <w:ind w:firstLine="482"/>
        <w:outlineLvl w:val="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CN"/>
        </w:rPr>
        <w:t>.</w:t>
      </w:r>
      <w:r>
        <w:rPr>
          <w:rFonts w:hint="eastAsia" w:ascii="宋体" w:hAnsi="宋体" w:eastAsia="宋体" w:cs="宋体"/>
          <w:sz w:val="24"/>
          <w:szCs w:val="24"/>
        </w:rPr>
        <w:t>英语</w:t>
      </w:r>
    </w:p>
    <w:p>
      <w:pPr>
        <w:pStyle w:val="15"/>
        <w:overflowPunct w:val="0"/>
        <w:adjustRightInd w:val="0"/>
        <w:spacing w:line="360" w:lineRule="auto"/>
        <w:ind w:firstLine="482"/>
        <w:outlineLvl w:val="0"/>
        <w:rPr>
          <w:rFonts w:hint="eastAsia" w:ascii="宋体" w:hAnsi="宋体" w:eastAsia="宋体" w:cs="宋体"/>
          <w:sz w:val="24"/>
          <w:szCs w:val="24"/>
        </w:rPr>
      </w:pPr>
      <w:r>
        <w:rPr>
          <w:rFonts w:hint="eastAsia" w:ascii="宋体" w:hAnsi="宋体" w:eastAsia="宋体" w:cs="宋体"/>
          <w:sz w:val="24"/>
          <w:szCs w:val="24"/>
        </w:rPr>
        <w:t>在英语学习中全面贯彻党的教育方针，落实立德树人根本任务，在义务教育的基础上，进一步激发学生英语学习的兴趣，帮助学生掌握基础知识和基本技能，发展英语学科核心素养，为学生的职业生涯、继续学习和终身发展奠定基础。主要内容有基础模块、职业模块、拓展模块。</w:t>
      </w:r>
    </w:p>
    <w:p>
      <w:pPr>
        <w:pStyle w:val="15"/>
        <w:overflowPunct w:val="0"/>
        <w:adjustRightInd w:val="0"/>
        <w:spacing w:line="360" w:lineRule="auto"/>
        <w:ind w:firstLine="482"/>
        <w:outlineLvl w:val="0"/>
        <w:rPr>
          <w:rFonts w:hint="eastAsia" w:ascii="宋体" w:hAnsi="宋体" w:eastAsia="宋体" w:cs="宋体"/>
          <w:sz w:val="24"/>
          <w:szCs w:val="24"/>
        </w:rPr>
      </w:pPr>
      <w:r>
        <w:rPr>
          <w:rFonts w:hint="eastAsia" w:ascii="宋体" w:hAnsi="宋体" w:eastAsia="宋体" w:cs="宋体"/>
          <w:sz w:val="24"/>
          <w:szCs w:val="24"/>
        </w:rPr>
        <w:t>在教学过程中遵循英语教学规律，制定教学计划，创设教学情境，完成课程任务时，应体现职教特色，注重实践应用 ，在教学中合理融入德育教育，引导学生树立积极的世界观 、人生观和价值观。</w:t>
      </w:r>
    </w:p>
    <w:p>
      <w:pPr>
        <w:pStyle w:val="15"/>
        <w:overflowPunct w:val="0"/>
        <w:adjustRightInd w:val="0"/>
        <w:spacing w:line="360" w:lineRule="auto"/>
        <w:ind w:firstLine="482"/>
        <w:outlineLvl w:val="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eastAsia="zh-CN"/>
        </w:rPr>
        <w:t>.</w:t>
      </w:r>
      <w:r>
        <w:rPr>
          <w:rFonts w:hint="eastAsia" w:ascii="宋体" w:hAnsi="宋体" w:eastAsia="宋体" w:cs="宋体"/>
          <w:sz w:val="24"/>
          <w:szCs w:val="24"/>
        </w:rPr>
        <w:t>体育与健康</w:t>
      </w:r>
    </w:p>
    <w:p>
      <w:pPr>
        <w:pStyle w:val="15"/>
        <w:overflowPunct w:val="0"/>
        <w:adjustRightInd w:val="0"/>
        <w:spacing w:line="360" w:lineRule="auto"/>
        <w:ind w:firstLine="482"/>
        <w:outlineLvl w:val="0"/>
        <w:rPr>
          <w:rFonts w:hint="eastAsia" w:ascii="宋体" w:hAnsi="宋体" w:eastAsia="宋体" w:cs="宋体"/>
          <w:sz w:val="24"/>
          <w:szCs w:val="24"/>
        </w:rPr>
      </w:pPr>
      <w:r>
        <w:rPr>
          <w:rFonts w:hint="eastAsia" w:ascii="宋体" w:hAnsi="宋体" w:eastAsia="宋体" w:cs="宋体"/>
          <w:sz w:val="24"/>
          <w:szCs w:val="24"/>
        </w:rPr>
        <w:t>通过学习本课程，学生能够喜爱并积极参与体育运动，享受体育运动的乐趣。学会锻炼身体的科学方法，掌握1-2项体育运动技能，提高体育运动能力，提高职业体能水平.树立健康观念，掌握健康知识和与职业相关的健康安全知识，形成健康文明的生活方式。遵守体育道德规范和行为准则，发扬体育精神，塑造良好体育品格，增强责任意识、规范意识和团队意识。学生能在体育锻炼增强体质、健全人格、锤炼意志，使学生在运动能力、健康行为和体育精神三方面获得全面发展。</w:t>
      </w:r>
    </w:p>
    <w:p>
      <w:pPr>
        <w:pStyle w:val="15"/>
        <w:overflowPunct w:val="0"/>
        <w:adjustRightInd w:val="0"/>
        <w:spacing w:line="360" w:lineRule="auto"/>
        <w:ind w:firstLine="482"/>
        <w:outlineLvl w:val="0"/>
        <w:rPr>
          <w:rFonts w:hint="eastAsia" w:ascii="宋体" w:hAnsi="宋体" w:eastAsia="宋体" w:cs="宋体"/>
          <w:sz w:val="24"/>
          <w:szCs w:val="24"/>
        </w:rPr>
      </w:pPr>
      <w:r>
        <w:rPr>
          <w:rFonts w:hint="eastAsia" w:ascii="宋体" w:hAnsi="宋体" w:eastAsia="宋体" w:cs="宋体"/>
          <w:sz w:val="24"/>
          <w:szCs w:val="24"/>
        </w:rPr>
        <w:t>教学过程运用多种手段提高学生的各项身体素质。首先在教学中要注重学生理论知识，安全知识的教学，使学生学会科学的锻炼方法以及各种安全事项的应急处理方法。其次在教学中要发展学生心肺耐力、肌肉力量、肌肉耐力，发展速度、爆发力、柔韧性、平衡性、协调性和反应时等各种身体基本素质。第三要根据学生的专业发展学生的职业体能。学生能在体育锻炼增强体质、健全人格、锤炼意志，使学生在运动能力、健康行为和体育精神三方面获得全面发展。</w:t>
      </w:r>
    </w:p>
    <w:p>
      <w:pPr>
        <w:pStyle w:val="15"/>
        <w:overflowPunct w:val="0"/>
        <w:adjustRightInd w:val="0"/>
        <w:spacing w:line="360" w:lineRule="auto"/>
        <w:ind w:firstLine="482"/>
        <w:outlineLvl w:val="0"/>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eastAsia="zh-CN"/>
        </w:rPr>
        <w:t>.</w:t>
      </w:r>
      <w:r>
        <w:rPr>
          <w:rFonts w:hint="eastAsia" w:ascii="宋体" w:hAnsi="宋体" w:eastAsia="宋体" w:cs="宋体"/>
          <w:sz w:val="24"/>
          <w:szCs w:val="24"/>
        </w:rPr>
        <w:t>信息技术</w:t>
      </w:r>
    </w:p>
    <w:p>
      <w:pPr>
        <w:pStyle w:val="15"/>
        <w:overflowPunct w:val="0"/>
        <w:adjustRightInd w:val="0"/>
        <w:spacing w:line="360" w:lineRule="auto"/>
        <w:ind w:firstLine="482"/>
        <w:outlineLvl w:val="0"/>
        <w:rPr>
          <w:rFonts w:hint="eastAsia" w:ascii="宋体" w:hAnsi="宋体" w:eastAsia="宋体" w:cs="宋体"/>
          <w:sz w:val="24"/>
          <w:szCs w:val="24"/>
        </w:rPr>
      </w:pPr>
      <w:r>
        <w:rPr>
          <w:rFonts w:hint="eastAsia" w:ascii="宋体" w:hAnsi="宋体" w:eastAsia="宋体" w:cs="宋体"/>
          <w:sz w:val="24"/>
          <w:szCs w:val="24"/>
        </w:rPr>
        <w:t>在初中相关课程基础上，通过信息技术基础知识与技能的学习，有助于学生增强信息意识、发展计算思维、提高数字化学习与创新能力，树立正确的信息社会价值观和责任感。把学生培养成为符合时代要求的信息素养与适应职业发展需要的信息能力的技术技能人才。</w:t>
      </w:r>
    </w:p>
    <w:p>
      <w:pPr>
        <w:pStyle w:val="15"/>
        <w:overflowPunct w:val="0"/>
        <w:adjustRightInd w:val="0"/>
        <w:spacing w:line="360" w:lineRule="auto"/>
        <w:ind w:firstLine="482"/>
        <w:outlineLvl w:val="0"/>
        <w:rPr>
          <w:rFonts w:hint="eastAsia" w:ascii="宋体" w:hAnsi="宋体" w:eastAsia="宋体" w:cs="宋体"/>
          <w:sz w:val="24"/>
          <w:szCs w:val="24"/>
        </w:rPr>
      </w:pPr>
      <w:r>
        <w:rPr>
          <w:rFonts w:hint="eastAsia" w:ascii="宋体" w:hAnsi="宋体" w:eastAsia="宋体" w:cs="宋体"/>
          <w:sz w:val="24"/>
          <w:szCs w:val="24"/>
        </w:rPr>
        <w:t xml:space="preserve">本课程通过多样化教学方式，帮助学生认识信息技术对当今人类生产、生活的重要作用，理解信息技术、信息社会等概念和信息社会特征与规范，掌握信息技术设备与系统操作、网络应用、图文编辑、数据处理、程序设计、数字媒体技术应用、信息安全和人工智能等相关知识与技能，综合应用信息技术解决生产、生活和学习情境中各种问题; 在数字化学习与创新过程中培养独立思考和主动探究能力，不断强化认知、合作、创新能力，为职业能力的提升奠定基础。本课程学习内容：信息技术应用基础、网络应用、图文编辑、数据处理、程序设计入门、数字媒体技术应用、信息安全基础、人工智能初步8个部分。 </w:t>
      </w:r>
    </w:p>
    <w:p>
      <w:pPr>
        <w:pStyle w:val="15"/>
        <w:overflowPunct w:val="0"/>
        <w:adjustRightInd w:val="0"/>
        <w:spacing w:line="360" w:lineRule="auto"/>
        <w:ind w:firstLine="482"/>
        <w:outlineLvl w:val="0"/>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eastAsia="zh-CN"/>
        </w:rPr>
        <w:t>.</w:t>
      </w:r>
      <w:r>
        <w:rPr>
          <w:rFonts w:hint="eastAsia" w:ascii="宋体" w:hAnsi="宋体" w:eastAsia="宋体" w:cs="宋体"/>
          <w:sz w:val="24"/>
          <w:szCs w:val="24"/>
        </w:rPr>
        <w:t>历史</w:t>
      </w:r>
    </w:p>
    <w:p>
      <w:pPr>
        <w:pStyle w:val="15"/>
        <w:overflowPunct w:val="0"/>
        <w:adjustRightInd w:val="0"/>
        <w:spacing w:line="360" w:lineRule="auto"/>
        <w:ind w:firstLine="482"/>
        <w:outlineLvl w:val="0"/>
        <w:rPr>
          <w:rFonts w:hint="eastAsia" w:ascii="宋体" w:hAnsi="宋体" w:eastAsia="宋体" w:cs="宋体"/>
          <w:sz w:val="24"/>
          <w:szCs w:val="24"/>
        </w:rPr>
      </w:pPr>
      <w:r>
        <w:rPr>
          <w:rFonts w:hint="eastAsia" w:ascii="宋体" w:hAnsi="宋体" w:eastAsia="宋体" w:cs="宋体"/>
          <w:sz w:val="24"/>
          <w:szCs w:val="24"/>
        </w:rPr>
        <w:t>在历史学习中落实立德树人的根本任务，掌握必备的历史知识，形成历史学科核心素养。了解唯物史观的基本观点和方法，知道特定的史事是与特定的时间和空间相联系的，知道史料是通向历史认识的桥梁，能够依据史实与史料对史事表达自己的看法，树立正确的国家观，增强对祖国的认同感。主要内容有中国历史和世界历史。</w:t>
      </w:r>
    </w:p>
    <w:p>
      <w:pPr>
        <w:pStyle w:val="15"/>
        <w:overflowPunct w:val="0"/>
        <w:adjustRightInd w:val="0"/>
        <w:spacing w:line="360" w:lineRule="auto"/>
        <w:ind w:firstLine="482"/>
        <w:outlineLvl w:val="0"/>
        <w:rPr>
          <w:rFonts w:hint="eastAsia" w:ascii="宋体" w:hAnsi="宋体" w:eastAsia="宋体" w:cs="宋体"/>
          <w:sz w:val="24"/>
          <w:szCs w:val="24"/>
        </w:rPr>
      </w:pPr>
      <w:r>
        <w:rPr>
          <w:rFonts w:hint="eastAsia" w:ascii="宋体" w:hAnsi="宋体" w:eastAsia="宋体" w:cs="宋体"/>
          <w:sz w:val="24"/>
          <w:szCs w:val="24"/>
        </w:rPr>
        <w:t>在教学过程中要基于历史学科核心素养设计教学，倡导多元化的教学方式，注重历史学习与学生职业发展的融合，加强现代信息技术在历史教学中的应用。</w:t>
      </w:r>
    </w:p>
    <w:p>
      <w:pPr>
        <w:pStyle w:val="15"/>
        <w:overflowPunct w:val="0"/>
        <w:adjustRightInd w:val="0"/>
        <w:spacing w:line="360" w:lineRule="auto"/>
        <w:ind w:firstLine="482"/>
        <w:outlineLvl w:val="0"/>
        <w:rPr>
          <w:rFonts w:hint="eastAsia" w:ascii="宋体" w:hAnsi="宋体" w:eastAsia="宋体" w:cs="宋体"/>
          <w:sz w:val="24"/>
          <w:szCs w:val="24"/>
        </w:rPr>
      </w:pPr>
    </w:p>
    <w:p>
      <w:pPr>
        <w:pStyle w:val="15"/>
        <w:overflowPunct w:val="0"/>
        <w:adjustRightInd w:val="0"/>
        <w:spacing w:line="360" w:lineRule="auto"/>
        <w:ind w:firstLine="482"/>
        <w:outlineLvl w:val="0"/>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lang w:eastAsia="zh-CN"/>
        </w:rPr>
        <w:t>.</w:t>
      </w:r>
      <w:r>
        <w:rPr>
          <w:rFonts w:hint="eastAsia" w:ascii="宋体" w:hAnsi="宋体" w:eastAsia="宋体" w:cs="宋体"/>
          <w:sz w:val="24"/>
          <w:szCs w:val="24"/>
        </w:rPr>
        <w:t>中华优秀传统文化</w:t>
      </w:r>
    </w:p>
    <w:p>
      <w:pPr>
        <w:pStyle w:val="15"/>
        <w:overflowPunct w:val="0"/>
        <w:adjustRightInd w:val="0"/>
        <w:spacing w:line="360" w:lineRule="auto"/>
        <w:ind w:firstLine="482"/>
        <w:outlineLvl w:val="0"/>
        <w:rPr>
          <w:rFonts w:hint="eastAsia" w:ascii="宋体" w:hAnsi="宋体" w:eastAsia="宋体" w:cs="宋体"/>
          <w:sz w:val="24"/>
          <w:szCs w:val="24"/>
        </w:rPr>
      </w:pPr>
      <w:r>
        <w:rPr>
          <w:rFonts w:hint="eastAsia" w:ascii="宋体" w:hAnsi="宋体" w:eastAsia="宋体" w:cs="宋体"/>
          <w:sz w:val="24"/>
          <w:szCs w:val="24"/>
        </w:rPr>
        <w:t>《中华优秀传统文化》是一门培养中职学生进取心、增强中华文化的认同感与凝聚力的课程。本课程立足初中文化传承与参与的基础，初步具有对中华文化的理解和吸收、传承和发展的能力，继承和弘扬中华优秀传统文化、革命文化、社会主义先进文化，吸收人类文化知识积累和创新成果，并在学习中拓宽文化视野，培育劳动精神，弘扬劳模精神、工匠精神，增强文化自觉和文化自信。</w:t>
      </w:r>
    </w:p>
    <w:p>
      <w:pPr>
        <w:pStyle w:val="15"/>
        <w:overflowPunct w:val="0"/>
        <w:adjustRightInd w:val="0"/>
        <w:spacing w:line="360" w:lineRule="auto"/>
        <w:ind w:firstLine="482"/>
        <w:outlineLvl w:val="0"/>
        <w:rPr>
          <w:rFonts w:hint="eastAsia" w:ascii="宋体" w:hAnsi="宋体" w:eastAsia="宋体" w:cs="宋体"/>
          <w:sz w:val="24"/>
          <w:szCs w:val="24"/>
        </w:rPr>
      </w:pPr>
      <w:r>
        <w:rPr>
          <w:rFonts w:hint="eastAsia" w:ascii="宋体" w:hAnsi="宋体" w:eastAsia="宋体" w:cs="宋体"/>
          <w:sz w:val="24"/>
          <w:szCs w:val="24"/>
        </w:rPr>
        <w:t>本课程高度概括中华文化的特征，通过分析中国人解决和思考问题的习惯（思维方式），将中华优秀传统文化的主要组成要素（思想、文学、艺术、科技、教育等）的基本特征阐释出来，既让学生掌握中华文化各组成要素的特征，又让学生学到自己去分析各种文化现象的方法。</w:t>
      </w:r>
    </w:p>
    <w:p>
      <w:pPr>
        <w:pStyle w:val="15"/>
        <w:overflowPunct w:val="0"/>
        <w:adjustRightInd w:val="0"/>
        <w:spacing w:line="360" w:lineRule="auto"/>
        <w:ind w:firstLine="482"/>
        <w:outlineLvl w:val="0"/>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sz w:val="24"/>
          <w:szCs w:val="24"/>
          <w:lang w:eastAsia="zh-CN"/>
        </w:rPr>
        <w:t>.</w:t>
      </w:r>
      <w:r>
        <w:rPr>
          <w:rFonts w:hint="eastAsia" w:ascii="宋体" w:hAnsi="宋体" w:eastAsia="宋体" w:cs="宋体"/>
          <w:sz w:val="24"/>
          <w:szCs w:val="24"/>
        </w:rPr>
        <w:t xml:space="preserve">职业素养 </w:t>
      </w:r>
    </w:p>
    <w:p>
      <w:pPr>
        <w:pStyle w:val="15"/>
        <w:overflowPunct w:val="0"/>
        <w:adjustRightInd w:val="0"/>
        <w:spacing w:line="360" w:lineRule="auto"/>
        <w:ind w:firstLine="482"/>
        <w:outlineLvl w:val="0"/>
        <w:rPr>
          <w:rFonts w:hint="eastAsia" w:ascii="宋体" w:hAnsi="宋体" w:eastAsia="宋体" w:cs="宋体"/>
          <w:sz w:val="24"/>
          <w:szCs w:val="24"/>
        </w:rPr>
      </w:pPr>
      <w:r>
        <w:rPr>
          <w:rFonts w:hint="eastAsia" w:ascii="宋体" w:hAnsi="宋体" w:eastAsia="宋体" w:cs="宋体"/>
          <w:sz w:val="24"/>
          <w:szCs w:val="24"/>
        </w:rPr>
        <w:t>通过本课程的教学，帮助学生树立职业生涯发展的自觉意识，树立积极正确的职业态度和就业观念，把个人发展和国家需要、社会发展相结合，确立职业的概念和意识，愿意为实现个人的生涯发展和社会发展做出努力的积极态度。了解职业的有关概念、职业生涯设计及其发展、求职就业、劳动合同等有关知识，了解职业道德以及职业道德行为养成，了解就业形势和政策法规，掌握基本的劳动力市场相关信息及就业创业的基本知识。具备进行生涯决策，搜集就业信息、求职面试，正确的处理与同事领导的关系，适应新环境，做个受欢迎的人的能力，提高学生的各种通用技能，比如沟通技能问题，自我管理技能和人际交往技能，对创业有正确的认识，具有初步创业能力。</w:t>
      </w:r>
    </w:p>
    <w:p>
      <w:pPr>
        <w:pStyle w:val="15"/>
        <w:overflowPunct w:val="0"/>
        <w:adjustRightInd w:val="0"/>
        <w:spacing w:line="360" w:lineRule="auto"/>
        <w:ind w:firstLine="482"/>
        <w:outlineLvl w:val="0"/>
        <w:rPr>
          <w:rFonts w:hint="eastAsia" w:ascii="宋体" w:hAnsi="宋体" w:eastAsia="宋体" w:cs="宋体"/>
          <w:sz w:val="24"/>
          <w:szCs w:val="24"/>
        </w:rPr>
      </w:pPr>
      <w:r>
        <w:rPr>
          <w:rFonts w:hint="eastAsia" w:ascii="宋体" w:hAnsi="宋体" w:eastAsia="宋体" w:cs="宋体"/>
          <w:sz w:val="24"/>
          <w:szCs w:val="24"/>
        </w:rPr>
        <w:t>10</w:t>
      </w:r>
      <w:r>
        <w:rPr>
          <w:rFonts w:hint="eastAsia" w:ascii="宋体" w:hAnsi="宋体" w:eastAsia="宋体" w:cs="宋体"/>
          <w:sz w:val="24"/>
          <w:szCs w:val="24"/>
          <w:lang w:eastAsia="zh-CN"/>
        </w:rPr>
        <w:t>.</w:t>
      </w:r>
      <w:r>
        <w:rPr>
          <w:rFonts w:hint="eastAsia" w:ascii="宋体" w:hAnsi="宋体" w:eastAsia="宋体" w:cs="宋体"/>
          <w:sz w:val="24"/>
          <w:szCs w:val="24"/>
        </w:rPr>
        <w:t>艺术</w:t>
      </w:r>
    </w:p>
    <w:p>
      <w:pPr>
        <w:pStyle w:val="15"/>
        <w:overflowPunct w:val="0"/>
        <w:adjustRightInd w:val="0"/>
        <w:spacing w:line="360" w:lineRule="auto"/>
        <w:ind w:firstLine="482"/>
        <w:outlineLvl w:val="0"/>
        <w:rPr>
          <w:rFonts w:hint="eastAsia" w:ascii="宋体" w:hAnsi="宋体" w:eastAsia="宋体" w:cs="宋体"/>
          <w:sz w:val="24"/>
          <w:szCs w:val="24"/>
        </w:rPr>
      </w:pPr>
      <w:r>
        <w:rPr>
          <w:rFonts w:hint="eastAsia" w:ascii="宋体" w:hAnsi="宋体" w:eastAsia="宋体" w:cs="宋体"/>
          <w:sz w:val="24"/>
          <w:szCs w:val="24"/>
        </w:rPr>
        <w:t>本课程是培养中职学生音乐、美术、舞蹈等艺术基本功，增强艺术感知能力，提升艺术素养及艺术鉴赏能力的一门课程。本课程立足初中最初的艺术感知能力，引导中等职业学校学生主动参与广泛的艺术学习和活动，了解和掌握不同艺术门类的基本知识、技能和原理，丰富审美体验，增强感性认识，提升艺术感知能力；关注艺术与社会生活、艺术与劳动生产、艺术与历史文化、艺术与其他课程和专业的有机联系，提高理性认识，发展艺术鉴赏能力；树立正确审美观，陶冶高尚的道德情操，培养深厚的民族情感，激发想象力和创新意识，促进学生全面发展和健康成长。</w:t>
      </w:r>
    </w:p>
    <w:p>
      <w:pPr>
        <w:pStyle w:val="15"/>
        <w:overflowPunct w:val="0"/>
        <w:adjustRightInd w:val="0"/>
        <w:spacing w:line="360" w:lineRule="auto"/>
        <w:ind w:firstLine="482"/>
        <w:outlineLvl w:val="0"/>
        <w:rPr>
          <w:rFonts w:hint="eastAsia" w:ascii="宋体" w:hAnsi="宋体" w:eastAsia="宋体" w:cs="宋体"/>
          <w:sz w:val="24"/>
          <w:szCs w:val="24"/>
        </w:rPr>
      </w:pPr>
      <w:r>
        <w:rPr>
          <w:rFonts w:hint="eastAsia" w:ascii="宋体" w:hAnsi="宋体" w:eastAsia="宋体" w:cs="宋体"/>
          <w:sz w:val="24"/>
          <w:szCs w:val="24"/>
        </w:rPr>
        <w:t xml:space="preserve">通过本课程的学习，使学生在艺术感知、审美鉴赏、创意表达和文化理解与传承等艺术核心素养方面获得发展，成为具有高尚道德情操和健康审美情趣的高素质技术技能人才。 </w:t>
      </w:r>
    </w:p>
    <w:p>
      <w:pPr>
        <w:pStyle w:val="15"/>
        <w:overflowPunct w:val="0"/>
        <w:adjustRightInd w:val="0"/>
        <w:spacing w:line="360" w:lineRule="auto"/>
        <w:ind w:firstLine="482"/>
        <w:outlineLvl w:val="0"/>
        <w:rPr>
          <w:rFonts w:hint="eastAsia" w:ascii="宋体" w:hAnsi="宋体" w:eastAsia="宋体" w:cs="宋体"/>
          <w:sz w:val="24"/>
          <w:szCs w:val="24"/>
        </w:rPr>
      </w:pPr>
      <w:r>
        <w:rPr>
          <w:rFonts w:hint="eastAsia" w:ascii="宋体" w:hAnsi="宋体" w:eastAsia="宋体" w:cs="宋体"/>
          <w:sz w:val="24"/>
          <w:szCs w:val="24"/>
        </w:rPr>
        <w:t>11</w:t>
      </w:r>
      <w:r>
        <w:rPr>
          <w:rFonts w:hint="eastAsia" w:ascii="宋体" w:hAnsi="宋体" w:eastAsia="宋体" w:cs="宋体"/>
          <w:sz w:val="24"/>
          <w:szCs w:val="24"/>
          <w:lang w:eastAsia="zh-CN"/>
        </w:rPr>
        <w:t>.</w:t>
      </w:r>
      <w:r>
        <w:rPr>
          <w:rFonts w:hint="eastAsia" w:ascii="宋体" w:hAnsi="宋体" w:eastAsia="宋体" w:cs="宋体"/>
          <w:sz w:val="24"/>
          <w:szCs w:val="24"/>
        </w:rPr>
        <w:t>劳动教育</w:t>
      </w:r>
    </w:p>
    <w:p>
      <w:pPr>
        <w:pStyle w:val="15"/>
        <w:overflowPunct w:val="0"/>
        <w:adjustRightInd w:val="0"/>
        <w:spacing w:line="360" w:lineRule="auto"/>
        <w:ind w:firstLine="482"/>
        <w:outlineLvl w:val="0"/>
        <w:rPr>
          <w:rFonts w:hint="eastAsia" w:ascii="宋体" w:hAnsi="宋体" w:eastAsia="宋体" w:cs="宋体"/>
          <w:sz w:val="24"/>
          <w:szCs w:val="24"/>
        </w:rPr>
      </w:pPr>
      <w:r>
        <w:rPr>
          <w:rFonts w:hint="eastAsia" w:ascii="宋体" w:hAnsi="宋体" w:eastAsia="宋体" w:cs="宋体"/>
          <w:sz w:val="24"/>
          <w:szCs w:val="24"/>
        </w:rPr>
        <w:t>通过本课程，使学生能够正确理解和形成马克思主义劳动观，牢固树立劳动最光荣、劳动最崇高、劳动最伟大、劳动最美丽的劳动观念，促进学生体会劳动创造美好生活，体会劳动不分贵贱，热爱劳动，尊重普通劳动者。培养勤俭奋斗创新奉献的劳动精神，为学生具备满足生存发展需要的基本劳动能力和形成良好劳动习惯奠定基础，培养德智体美劳全面发展的社会主义建设者和接班人。</w:t>
      </w:r>
    </w:p>
    <w:p>
      <w:pPr>
        <w:pStyle w:val="15"/>
        <w:overflowPunct w:val="0"/>
        <w:adjustRightInd w:val="0"/>
        <w:spacing w:line="360" w:lineRule="auto"/>
        <w:ind w:firstLine="482"/>
        <w:outlineLvl w:val="0"/>
        <w:rPr>
          <w:rFonts w:hint="eastAsia" w:ascii="宋体" w:hAnsi="宋体" w:eastAsia="宋体" w:cs="宋体"/>
          <w:sz w:val="24"/>
          <w:szCs w:val="24"/>
        </w:rPr>
      </w:pPr>
      <w:r>
        <w:rPr>
          <w:rFonts w:hint="eastAsia" w:ascii="宋体" w:hAnsi="宋体" w:eastAsia="宋体" w:cs="宋体"/>
          <w:sz w:val="24"/>
          <w:szCs w:val="24"/>
        </w:rPr>
        <w:t>在教学过程中帮助学生树立马克思主义劳动观，铸造崇高个人品德，注意学生锻炼劳动技能，积累劳动经验，培养劳动习惯</w:t>
      </w:r>
    </w:p>
    <w:p>
      <w:pPr>
        <w:pStyle w:val="15"/>
        <w:overflowPunct w:val="0"/>
        <w:adjustRightInd w:val="0"/>
        <w:spacing w:line="360" w:lineRule="auto"/>
        <w:ind w:firstLine="482"/>
        <w:outlineLvl w:val="0"/>
        <w:rPr>
          <w:rFonts w:hint="eastAsia" w:ascii="宋体" w:hAnsi="宋体" w:eastAsia="宋体" w:cs="宋体"/>
          <w:sz w:val="24"/>
          <w:szCs w:val="24"/>
        </w:rPr>
      </w:pPr>
      <w:r>
        <w:rPr>
          <w:rFonts w:hint="eastAsia" w:ascii="宋体" w:hAnsi="宋体" w:eastAsia="宋体" w:cs="宋体"/>
          <w:sz w:val="24"/>
          <w:szCs w:val="24"/>
        </w:rPr>
        <w:t>12</w:t>
      </w:r>
      <w:r>
        <w:rPr>
          <w:rFonts w:hint="eastAsia" w:ascii="宋体" w:hAnsi="宋体" w:eastAsia="宋体" w:cs="宋体"/>
          <w:sz w:val="24"/>
          <w:szCs w:val="24"/>
          <w:lang w:eastAsia="zh-CN"/>
        </w:rPr>
        <w:t>.</w:t>
      </w:r>
      <w:r>
        <w:rPr>
          <w:rFonts w:hint="eastAsia" w:ascii="宋体" w:hAnsi="宋体" w:eastAsia="宋体" w:cs="宋体"/>
          <w:sz w:val="24"/>
          <w:szCs w:val="24"/>
        </w:rPr>
        <w:t>国家安全教育</w:t>
      </w:r>
    </w:p>
    <w:p>
      <w:pPr>
        <w:pStyle w:val="15"/>
        <w:overflowPunct w:val="0"/>
        <w:adjustRightInd w:val="0"/>
        <w:spacing w:line="360" w:lineRule="auto"/>
        <w:ind w:firstLine="482"/>
        <w:outlineLvl w:val="0"/>
        <w:rPr>
          <w:rFonts w:hint="eastAsia" w:ascii="宋体" w:hAnsi="宋体" w:eastAsia="宋体" w:cs="宋体"/>
          <w:sz w:val="24"/>
          <w:szCs w:val="24"/>
        </w:rPr>
      </w:pPr>
      <w:r>
        <w:rPr>
          <w:rFonts w:hint="eastAsia" w:ascii="宋体" w:hAnsi="宋体" w:eastAsia="宋体" w:cs="宋体"/>
          <w:sz w:val="24"/>
          <w:szCs w:val="24"/>
        </w:rPr>
        <w:t>本课程落实宪法和国家安全法的精神，阐释总体国家安全观，明确坚持总体国家安全观是新时代坚持和发展中国特色社会主义的基本方略， 阐明我们党治国理政的一个重大原则是统筹发展和安全，增强忧患意识，做到居安思危。</w:t>
      </w:r>
    </w:p>
    <w:p>
      <w:pPr>
        <w:pStyle w:val="15"/>
        <w:overflowPunct w:val="0"/>
        <w:adjustRightInd w:val="0"/>
        <w:spacing w:line="360" w:lineRule="auto"/>
        <w:ind w:firstLine="482"/>
        <w:outlineLvl w:val="0"/>
        <w:rPr>
          <w:rFonts w:hint="eastAsia" w:ascii="宋体" w:hAnsi="宋体" w:eastAsia="宋体" w:cs="宋体"/>
          <w:sz w:val="24"/>
          <w:szCs w:val="24"/>
        </w:rPr>
      </w:pPr>
      <w:r>
        <w:rPr>
          <w:rFonts w:hint="eastAsia" w:ascii="宋体" w:hAnsi="宋体" w:eastAsia="宋体" w:cs="宋体"/>
          <w:sz w:val="24"/>
          <w:szCs w:val="24"/>
        </w:rPr>
        <w:t>在教学过程中，帮助学生掌握国家安全法律知识和基本常识，理解坚持总体国家安全观、走中国特色国家安全道路的重要意义及基本要求，懂得国家安全是头等大事；能够认清国家安全形势， 树立国家安全、人人有责的观念，增强危机忧患意识，强化爱国主义情感；能够遵守宪法、法律法规关于国家安全的规定，学会正确应对日常生活中突发安全事件的方法，履行维护国家安全的义务，不做有损国家安全的事，敢于同损害国家安全的行为作斗争，为维护国家安全做出应有的贡献。</w:t>
      </w:r>
    </w:p>
    <w:p>
      <w:pPr>
        <w:pStyle w:val="15"/>
        <w:overflowPunct w:val="0"/>
        <w:adjustRightInd w:val="0"/>
        <w:spacing w:line="360" w:lineRule="auto"/>
        <w:ind w:left="0" w:leftChars="0" w:firstLine="0" w:firstLineChars="0"/>
        <w:outlineLvl w:val="0"/>
        <w:rPr>
          <w:rFonts w:hint="eastAsia" w:ascii="宋体" w:hAnsi="宋体" w:eastAsia="宋体" w:cs="宋体"/>
          <w:b/>
          <w:bCs/>
          <w:sz w:val="24"/>
          <w:szCs w:val="24"/>
        </w:rPr>
      </w:pPr>
      <w:r>
        <w:rPr>
          <w:rFonts w:hint="eastAsia" w:ascii="宋体" w:hAnsi="宋体" w:eastAsia="宋体" w:cs="宋体"/>
          <w:b/>
          <w:bCs/>
          <w:sz w:val="24"/>
          <w:szCs w:val="24"/>
        </w:rPr>
        <w:t>（二）专业（技能）课程</w:t>
      </w:r>
    </w:p>
    <w:p>
      <w:pPr>
        <w:overflowPunct w:val="0"/>
        <w:adjustRightInd w:val="0"/>
        <w:spacing w:line="360" w:lineRule="auto"/>
        <w:ind w:firstLine="482" w:firstLineChars="200"/>
        <w:outlineLvl w:val="0"/>
        <w:rPr>
          <w:rFonts w:hint="eastAsia" w:ascii="宋体" w:hAnsi="宋体" w:eastAsia="宋体" w:cs="宋体"/>
          <w:b/>
          <w:bCs/>
          <w:sz w:val="24"/>
          <w:szCs w:val="24"/>
        </w:rPr>
      </w:pPr>
      <w:r>
        <w:rPr>
          <w:rFonts w:hint="eastAsia" w:ascii="宋体" w:hAnsi="宋体" w:eastAsia="宋体" w:cs="宋体"/>
          <w:b/>
          <w:bCs/>
          <w:sz w:val="24"/>
          <w:szCs w:val="24"/>
        </w:rPr>
        <w:t>专业核心课程</w:t>
      </w:r>
    </w:p>
    <w:p>
      <w:pPr>
        <w:overflowPunct w:val="0"/>
        <w:adjustRightInd w:val="0"/>
        <w:spacing w:line="360" w:lineRule="auto"/>
        <w:ind w:firstLine="480" w:firstLineChars="200"/>
        <w:outlineLvl w:val="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基础会计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掌握会计的概念、职能、会计要素及会计等式；理解会计的对象、会计核算的基本前提与一般原则，会计要素的关系，会计核算形式的特点及其适应范围；掌握各种会计核算方法的概念、账户结构、借贷记账法、记账凭证的填制、会计账簿的登记、成本与费用概念、费用分配的基本方法、简要会计报表的编制和企业主要经济业务的账务处理等内容。了解会计的产生与发展、企业会计工作的组织、会计电算化管理、账户的分类等内容。</w:t>
      </w:r>
    </w:p>
    <w:p>
      <w:pPr>
        <w:pStyle w:val="15"/>
        <w:overflowPunct w:val="0"/>
        <w:adjustRightInd w:val="0"/>
        <w:spacing w:line="360" w:lineRule="auto"/>
        <w:ind w:firstLine="482"/>
        <w:outlineLvl w:val="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现代物流基础</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通过学习掌握物流活动的本质、构成、功能及作用，现代物流系统、供应链、第三方物流、物流与电子商务、现代物流管理的基础知识和基本技能、现代物流技术的发展情况。</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通过学习，学生能够了解物流的基本概念和基本内容，熟悉物流活动的构成，掌握各类物流业务的基本运作方法。</w:t>
      </w:r>
    </w:p>
    <w:p>
      <w:pPr>
        <w:spacing w:line="360" w:lineRule="auto"/>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3.国际贸易实务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讲授进出口业务工作的基本理论、基本知识和基本技能，介绍国际惯例和报关报检的有关知识，内容包括品质与数量、包装、价格、装运、保险、支付、商检、索赔和仲裁、出口交易的洽商、合同的签订与履行等。</w:t>
      </w:r>
    </w:p>
    <w:p>
      <w:pPr>
        <w:spacing w:line="360" w:lineRule="auto"/>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4.物流管理职业技能等级认证职业基础</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课程为1+X物流管理职业技能等级认证（初级）考证通用职业理论基础内容，主要学习以物流管理基础认知和物流管理岗位通用知识。掌握了解物流管理职业道德与职业安全及环保认知、物流基础与行业认知、基本管理技能应用、物流创新创业等。</w:t>
      </w:r>
    </w:p>
    <w:p>
      <w:pPr>
        <w:pStyle w:val="15"/>
        <w:overflowPunct w:val="0"/>
        <w:adjustRightInd w:val="0"/>
        <w:spacing w:line="360" w:lineRule="auto"/>
        <w:ind w:firstLine="482"/>
        <w:outlineLvl w:val="0"/>
        <w:rPr>
          <w:rFonts w:hint="eastAsia" w:ascii="宋体" w:hAnsi="宋体" w:eastAsia="宋体" w:cs="宋体"/>
          <w:b w:val="0"/>
          <w:bCs w:val="0"/>
          <w:sz w:val="24"/>
          <w:szCs w:val="24"/>
        </w:rPr>
      </w:pPr>
      <w:r>
        <w:rPr>
          <w:rFonts w:hint="eastAsia" w:ascii="宋体" w:hAnsi="宋体" w:eastAsia="宋体" w:cs="宋体"/>
          <w:b w:val="0"/>
          <w:bCs w:val="0"/>
          <w:kern w:val="2"/>
          <w:sz w:val="24"/>
          <w:szCs w:val="24"/>
          <w:lang w:val="en-US" w:eastAsia="zh-CN" w:bidi="ar-SA"/>
        </w:rPr>
        <w:t>5.</w:t>
      </w:r>
      <w:r>
        <w:rPr>
          <w:rFonts w:hint="eastAsia" w:ascii="宋体" w:hAnsi="宋体" w:eastAsia="宋体" w:cs="宋体"/>
          <w:b w:val="0"/>
          <w:bCs w:val="0"/>
          <w:sz w:val="24"/>
          <w:szCs w:val="24"/>
        </w:rPr>
        <w:t>物流装备技术</w:t>
      </w:r>
    </w:p>
    <w:p>
      <w:pPr>
        <w:numPr>
          <w:ilvl w:val="0"/>
          <w:numId w:val="0"/>
        </w:numPr>
        <w:spacing w:line="360" w:lineRule="auto"/>
        <w:ind w:firstLine="720" w:firstLineChars="3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本课程要求学生能认识常见的物流装备；正确使用仓储设施设备；货物外包装标识、分类和储存；正确使用分拣设施和设备；使用条形码技术、RFID技术、POS系统等进行数据采集及处理； 操作仓储管理系统（WMS）、运输管理系统（TMS）、货代管理系统、配送管理系统等主要物流信息系统；运用网络进行信息的收集、加工、传递、存储、检索和使用。了解物流技术在现代物流系统中的作用；掌握常见的集中物流装备的特征、结构、应用，进而具备一定的实际工作能力；培养学生树立正确的现代物流理念，提高学生在现代物流装备与技术实务方面的知识水平与理论素养。能遵守学校规章制度和实训室管理条例,注意安全操作与环境保护，与教师进行有效沟通解决工作过程中出现的问题。</w:t>
      </w:r>
    </w:p>
    <w:p>
      <w:pPr>
        <w:spacing w:line="360" w:lineRule="auto"/>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6.</w:t>
      </w:r>
      <w:r>
        <w:rPr>
          <w:rFonts w:hint="eastAsia" w:ascii="宋体" w:hAnsi="宋体" w:eastAsia="宋体" w:cs="宋体"/>
          <w:b w:val="0"/>
          <w:bCs w:val="0"/>
          <w:kern w:val="2"/>
          <w:sz w:val="24"/>
          <w:szCs w:val="24"/>
          <w:lang w:val="en-US" w:eastAsia="zh-CN" w:bidi="ar-SA"/>
        </w:rPr>
        <w:t>物流单证实务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包括入库单、储位分配单、拣货单、出库单、移库单、盘点单、货物清单、退货申请单、公路货物运单、运输计划、国内货物运输险投保单、出境货物换证凭单、残损记录表、订舱委托书、货物运输交接单、COMMERCIAL  INVOICE、集装箱发放 / 设备交接单、取（派）通知单、出口货物报关单、出境货物报检单、装箱单、进口货物报关单、入境货物报检单、信用证、产地证书、出口许可证、进口许可证、进口付汇核销单、出口收汇核销单。</w:t>
      </w:r>
    </w:p>
    <w:p>
      <w:pPr>
        <w:numPr>
          <w:ilvl w:val="0"/>
          <w:numId w:val="0"/>
        </w:numPr>
        <w:spacing w:line="360" w:lineRule="auto"/>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7.物流管理职业技能等级认证初级技能</w:t>
      </w:r>
    </w:p>
    <w:p>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本课程为1+X物流管理职业技能等级认证（初级）考证通用职业教材。主要学习以物流管理基础认知和物流管理岗位知识与技能为主。通过学习，要求学生能根据作业流程的规定，完成仓储、运输、信息处理、物流系统的使用和维护等作业。</w:t>
      </w:r>
    </w:p>
    <w:p>
      <w:pPr>
        <w:numPr>
          <w:ilvl w:val="0"/>
          <w:numId w:val="0"/>
        </w:numPr>
        <w:spacing w:line="360" w:lineRule="auto"/>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8.运输作业实务</w:t>
      </w:r>
    </w:p>
    <w:p>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学习五种运输方式简介、运输单据的填制、运费的计算、运输计划的制定、运输调度组织、运输过程的监控、运输保险和理赔。</w:t>
      </w:r>
    </w:p>
    <w:p>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通过学习，学生能够制定运输计划，组织运输作业，熟练填制运输单证，掌握运输业务的操作流程。</w:t>
      </w:r>
    </w:p>
    <w:p>
      <w:pPr>
        <w:pStyle w:val="15"/>
        <w:overflowPunct w:val="0"/>
        <w:adjustRightInd w:val="0"/>
        <w:spacing w:line="360" w:lineRule="auto"/>
        <w:ind w:firstLine="482"/>
        <w:outlineLvl w:val="0"/>
        <w:rPr>
          <w:rFonts w:hint="eastAsia" w:ascii="宋体" w:hAnsi="宋体" w:eastAsia="宋体" w:cs="宋体"/>
          <w:b/>
          <w:bCs/>
          <w:sz w:val="24"/>
          <w:szCs w:val="24"/>
          <w:lang w:eastAsia="zh-CN"/>
        </w:rPr>
      </w:pPr>
      <w:r>
        <w:rPr>
          <w:rFonts w:hint="eastAsia" w:ascii="宋体" w:hAnsi="宋体" w:eastAsia="宋体" w:cs="宋体"/>
          <w:b/>
          <w:bCs/>
          <w:sz w:val="24"/>
          <w:szCs w:val="24"/>
        </w:rPr>
        <w:t>专业方向课程：</w:t>
      </w:r>
      <w:r>
        <w:rPr>
          <w:rFonts w:hint="eastAsia" w:ascii="宋体" w:hAnsi="宋体" w:eastAsia="宋体" w:cs="宋体"/>
          <w:b/>
          <w:bCs/>
          <w:sz w:val="24"/>
          <w:szCs w:val="24"/>
          <w:lang w:eastAsia="zh-CN"/>
        </w:rPr>
        <w:t>（物流仓储管理方向）</w:t>
      </w:r>
    </w:p>
    <w:p>
      <w:pPr>
        <w:numPr>
          <w:ilvl w:val="0"/>
          <w:numId w:val="0"/>
        </w:numPr>
        <w:spacing w:line="360" w:lineRule="auto"/>
        <w:ind w:left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1.物流综合实训/叉车驾驶</w:t>
      </w:r>
    </w:p>
    <w:p>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物流</w:t>
      </w:r>
      <w:r>
        <w:rPr>
          <w:rFonts w:hint="eastAsia" w:ascii="宋体" w:hAnsi="宋体" w:eastAsia="宋体" w:cs="宋体"/>
          <w:b w:val="0"/>
          <w:bCs w:val="0"/>
          <w:sz w:val="24"/>
          <w:szCs w:val="24"/>
        </w:rPr>
        <w:t>综合实训包括叉车实训、仓储配送装备及流程实训、物流单证实训。通过实训，学生能够熟练驾驶叉车；熟练操作仓储配送常见的装备，组织货物入库、堆码、上架、分拣、包装、出库、盘点等流程；熟练填写仓储、运输、国际货代三个模块的物流单据。</w:t>
      </w:r>
    </w:p>
    <w:p>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叉车驾驶方面学生学习</w:t>
      </w:r>
      <w:r>
        <w:rPr>
          <w:rFonts w:hint="eastAsia" w:ascii="宋体" w:hAnsi="宋体" w:eastAsia="宋体" w:cs="宋体"/>
          <w:b w:val="0"/>
          <w:bCs w:val="0"/>
          <w:sz w:val="24"/>
          <w:szCs w:val="24"/>
        </w:rPr>
        <w:t>叉车基础理论、叉车操作安全理论及叉车的驾驶技术。通过实训，学生能够掌握我国常见叉车的分类、叉车结构、叉车操作安全规范、道路驾驶法律法规等理论知</w:t>
      </w:r>
      <w:r>
        <w:rPr>
          <w:rFonts w:hint="eastAsia" w:ascii="宋体" w:hAnsi="宋体" w:eastAsia="宋体" w:cs="宋体"/>
          <w:b w:val="0"/>
          <w:bCs w:val="0"/>
          <w:sz w:val="24"/>
          <w:szCs w:val="24"/>
          <w:lang w:eastAsia="zh-CN"/>
        </w:rPr>
        <w:t>识</w:t>
      </w:r>
      <w:r>
        <w:rPr>
          <w:rFonts w:hint="eastAsia" w:ascii="宋体" w:hAnsi="宋体" w:eastAsia="宋体" w:cs="宋体"/>
          <w:b w:val="0"/>
          <w:bCs w:val="0"/>
          <w:sz w:val="24"/>
          <w:szCs w:val="24"/>
        </w:rPr>
        <w:t>；同时能熟练驾驶叉车，组织货物入库、堆码、上架等。</w:t>
      </w:r>
    </w:p>
    <w:p>
      <w:pPr>
        <w:numPr>
          <w:ilvl w:val="0"/>
          <w:numId w:val="0"/>
        </w:numPr>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2.仓储与配送实务</w:t>
      </w:r>
    </w:p>
    <w:p>
      <w:pPr>
        <w:numPr>
          <w:ilvl w:val="0"/>
          <w:numId w:val="0"/>
        </w:numPr>
        <w:spacing w:line="360" w:lineRule="auto"/>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了解仓库管理员的岗位职责，熟悉货物仓储与配送作业流程，熟悉货物管理单据的种类，熟悉货物仓储与配送作业操作，了解适用于不同货品类型的仓储辅助用具的特点和使用方法，学习常见仓储装卸搬运设备的型号、功能和操控方法，了解仓储配送作业过程中常见问题的处理方法，熟悉仓储与配送相关单据的填制，掌握仓储管理系统的使用。</w:t>
      </w:r>
    </w:p>
    <w:p>
      <w:pPr>
        <w:numPr>
          <w:ilvl w:val="0"/>
          <w:numId w:val="0"/>
        </w:numPr>
        <w:spacing w:line="360" w:lineRule="auto"/>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3.电子商务与物流</w:t>
      </w:r>
    </w:p>
    <w:p>
      <w:pPr>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eastAsia="zh-CN"/>
        </w:rPr>
        <w:t>通过学习，认识电子商务的含义以及其与物流的关系；认识电子商务环境物流的新技术、新趋势及物流企业电子商务化战略；理解电商企业中的各项物流活动，掌握基本的操作步骤；理解物流企业中的各项电商活动，掌握基本的操作步骤；了解电商和物流的应用实务。通过完成项目和小组作业增强团队协作能力；通过对周围物流活动的观察和分析增强解决问题能力；通过完成课外阅读、资料查找和分析任务提高自我学习能力。</w:t>
      </w:r>
    </w:p>
    <w:p>
      <w:pPr>
        <w:numPr>
          <w:ilvl w:val="0"/>
          <w:numId w:val="0"/>
        </w:numPr>
        <w:spacing w:line="360" w:lineRule="auto"/>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4.货运代理实务</w:t>
      </w:r>
    </w:p>
    <w:p>
      <w:pPr>
        <w:spacing w:line="360" w:lineRule="auto"/>
        <w:ind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通过学习，认识国际货运代理的基本概念与基本理论知识，国际货运代理人的职责范围与服务对象；国际货运代理公司内部岗位的职责分工；海运、陆运、空运及多式联运等各种运输方式的基本特点及实务运作；海陆空运等重要单证的制作要领；国际物流的运作流程及货物的仓储与养护；世界贸易主要航线、港口所处的位置、转运以及内陆集散地；有关国际货运及货运代理的国际公约、惯例和法律法规。为学生日后从事国际贸易与货运代理工作打下专业理论与实践基础。</w:t>
      </w:r>
    </w:p>
    <w:p>
      <w:pPr>
        <w:spacing w:line="360" w:lineRule="auto"/>
        <w:ind w:firstLine="482" w:firstLineChars="20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专业限选课</w:t>
      </w:r>
    </w:p>
    <w:p>
      <w:pPr>
        <w:numPr>
          <w:ilvl w:val="0"/>
          <w:numId w:val="0"/>
        </w:numPr>
        <w:spacing w:line="360" w:lineRule="auto"/>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1.商务礼仪</w:t>
      </w:r>
    </w:p>
    <w:p>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通过以任务为驱动，以多元化的活动为形式，让学生掌握物流专业学生礼仪规范、物流从业人员的个人形象、物流从业人员的语言礼仪、物流从业人员求职面试礼仪、物流岗位业务活动礼仪规范、物流从业人员宴请礼仪、物流从业人员涉外礼仪等知识，使学生成为一个高素质的物流职业从业者。</w:t>
      </w:r>
    </w:p>
    <w:p>
      <w:pPr>
        <w:numPr>
          <w:ilvl w:val="0"/>
          <w:numId w:val="0"/>
        </w:numPr>
        <w:spacing w:line="360" w:lineRule="auto"/>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2.物流信息技术应用</w:t>
      </w:r>
    </w:p>
    <w:p>
      <w:pPr>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本课程主要内容包括物流信息技术概述、条码技术、射频识别技术、电子数据交换技术、物流动态跟踪技术、地理信息系统、物流信息系统、企业资源计划、物流公共信息平台、物联网应用技术和电子商务物流技术。培养学生的信息获取和信息综合分析能力。</w:t>
      </w:r>
    </w:p>
    <w:p>
      <w:pPr>
        <w:spacing w:line="360" w:lineRule="auto"/>
        <w:ind w:firstLine="480" w:firstLineChars="200"/>
        <w:rPr>
          <w:rFonts w:hint="eastAsia" w:ascii="宋体" w:hAnsi="宋体" w:eastAsia="宋体" w:cs="宋体"/>
          <w:b w:val="0"/>
          <w:bCs w:val="0"/>
          <w:kern w:val="2"/>
          <w:sz w:val="24"/>
          <w:szCs w:val="24"/>
          <w:lang w:val="en-US" w:eastAsia="zh-CN" w:bidi="ar-SA"/>
        </w:rPr>
      </w:pPr>
    </w:p>
    <w:p>
      <w:pPr>
        <w:spacing w:line="360" w:lineRule="auto"/>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3.物流经济地理</w:t>
      </w:r>
    </w:p>
    <w:p>
      <w:pPr>
        <w:spacing w:line="360" w:lineRule="auto"/>
        <w:ind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通过本课程</w:t>
      </w:r>
      <w:r>
        <w:rPr>
          <w:rFonts w:hint="eastAsia" w:ascii="宋体" w:hAnsi="宋体" w:eastAsia="宋体" w:cs="宋体"/>
          <w:b w:val="0"/>
          <w:bCs w:val="0"/>
          <w:sz w:val="24"/>
          <w:szCs w:val="24"/>
          <w:lang w:eastAsia="zh-CN"/>
        </w:rPr>
        <w:t>主要学习</w:t>
      </w:r>
      <w:r>
        <w:rPr>
          <w:rFonts w:hint="eastAsia" w:ascii="宋体" w:hAnsi="宋体" w:eastAsia="宋体" w:cs="宋体"/>
          <w:b w:val="0"/>
          <w:bCs w:val="0"/>
          <w:sz w:val="24"/>
          <w:szCs w:val="24"/>
        </w:rPr>
        <w:t>中国物流环境与物流布局、中国农工商物流地理、</w:t>
      </w:r>
      <w:r>
        <w:rPr>
          <w:rFonts w:hint="eastAsia" w:ascii="宋体" w:hAnsi="宋体" w:eastAsia="宋体" w:cs="宋体"/>
          <w:b w:val="0"/>
          <w:bCs w:val="0"/>
          <w:sz w:val="24"/>
          <w:szCs w:val="24"/>
          <w:lang w:eastAsia="zh-CN"/>
        </w:rPr>
        <w:t>中国各区域物流情况等内容</w:t>
      </w:r>
      <w:r>
        <w:rPr>
          <w:rFonts w:hint="eastAsia" w:ascii="宋体" w:hAnsi="宋体" w:eastAsia="宋体" w:cs="宋体"/>
          <w:b w:val="0"/>
          <w:bCs w:val="0"/>
          <w:sz w:val="24"/>
          <w:szCs w:val="24"/>
        </w:rPr>
        <w:t>，使学生了解地域布局内的物流运动规律，把</w:t>
      </w:r>
      <w:r>
        <w:rPr>
          <w:rFonts w:hint="eastAsia" w:ascii="宋体" w:hAnsi="宋体" w:eastAsia="宋体" w:cs="宋体"/>
          <w:b w:val="0"/>
          <w:bCs w:val="0"/>
          <w:sz w:val="24"/>
          <w:szCs w:val="24"/>
          <w:lang w:eastAsia="zh-CN"/>
        </w:rPr>
        <w:t>物流</w:t>
      </w:r>
      <w:r>
        <w:rPr>
          <w:rFonts w:hint="eastAsia" w:ascii="宋体" w:hAnsi="宋体" w:eastAsia="宋体" w:cs="宋体"/>
          <w:b w:val="0"/>
          <w:bCs w:val="0"/>
          <w:sz w:val="24"/>
          <w:szCs w:val="24"/>
        </w:rPr>
        <w:t>与</w:t>
      </w:r>
      <w:r>
        <w:rPr>
          <w:rFonts w:hint="eastAsia" w:ascii="宋体" w:hAnsi="宋体" w:eastAsia="宋体" w:cs="宋体"/>
          <w:b w:val="0"/>
          <w:bCs w:val="0"/>
          <w:sz w:val="24"/>
          <w:szCs w:val="24"/>
          <w:lang w:eastAsia="zh-CN"/>
        </w:rPr>
        <w:t>区域</w:t>
      </w:r>
      <w:r>
        <w:rPr>
          <w:rFonts w:hint="eastAsia" w:ascii="宋体" w:hAnsi="宋体" w:eastAsia="宋体" w:cs="宋体"/>
          <w:b w:val="0"/>
          <w:bCs w:val="0"/>
          <w:sz w:val="24"/>
          <w:szCs w:val="24"/>
        </w:rPr>
        <w:t>经济活动相结合，在一定地域经济范围更好的发展物流</w:t>
      </w:r>
      <w:r>
        <w:rPr>
          <w:rFonts w:hint="eastAsia" w:ascii="宋体" w:hAnsi="宋体" w:eastAsia="宋体" w:cs="宋体"/>
          <w:b w:val="0"/>
          <w:bCs w:val="0"/>
          <w:sz w:val="24"/>
          <w:szCs w:val="24"/>
          <w:lang w:eastAsia="zh-CN"/>
        </w:rPr>
        <w:t>。</w:t>
      </w:r>
    </w:p>
    <w:p>
      <w:pPr>
        <w:numPr>
          <w:ilvl w:val="0"/>
          <w:numId w:val="0"/>
        </w:numPr>
        <w:spacing w:line="360" w:lineRule="auto"/>
        <w:ind w:left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4.跨境电商实务</w:t>
      </w:r>
    </w:p>
    <w:p>
      <w:pPr>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通过学习本课程学生可以了解跨境电子商务相关的法律法规、行业政策和网络安全常识；了解网络零售市场的基本特点，电子商务B2B、B2C、C2C 等典型电子商务运营模式；掌握网络零售的主要交易流程，能进行网络商情信息的处理加工；熟悉网上银行和第三方支付平台业务；能应用电子商务平台进行网上商店的搭建和日常商务交易处理。</w:t>
      </w:r>
    </w:p>
    <w:p>
      <w:pPr>
        <w:numPr>
          <w:ilvl w:val="0"/>
          <w:numId w:val="0"/>
        </w:numPr>
        <w:spacing w:line="360" w:lineRule="auto"/>
        <w:ind w:left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5.excel高级运用</w:t>
      </w:r>
    </w:p>
    <w:p>
      <w:pPr>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本课程以物流管理为主线</w:t>
      </w:r>
      <w:r>
        <w:rPr>
          <w:rFonts w:hint="eastAsia" w:ascii="宋体" w:hAnsi="宋体" w:eastAsia="宋体" w:cs="宋体"/>
          <w:b w:val="0"/>
          <w:bCs w:val="0"/>
          <w:sz w:val="24"/>
          <w:szCs w:val="24"/>
          <w:lang w:eastAsia="zh-CN"/>
        </w:rPr>
        <w:t>，可以帮助学生更好地掌握</w:t>
      </w:r>
      <w:r>
        <w:rPr>
          <w:rFonts w:hint="eastAsia" w:ascii="宋体" w:hAnsi="宋体" w:eastAsia="宋体" w:cs="宋体"/>
          <w:b w:val="0"/>
          <w:bCs w:val="0"/>
          <w:sz w:val="24"/>
          <w:szCs w:val="24"/>
          <w:lang w:val="en-US" w:eastAsia="zh-CN"/>
        </w:rPr>
        <w:t>Excel在物流管理中的实际应用，</w:t>
      </w:r>
      <w:r>
        <w:rPr>
          <w:rFonts w:hint="eastAsia" w:ascii="宋体" w:hAnsi="宋体" w:eastAsia="宋体" w:cs="宋体"/>
          <w:b w:val="0"/>
          <w:bCs w:val="0"/>
          <w:sz w:val="24"/>
          <w:szCs w:val="24"/>
        </w:rPr>
        <w:t>学会使用用Excel解析繁杂的数据运算</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熟悉物流管理环节及掌握物流管理活动中常用表格的制作方法。提高学生的计算机处理数据的能力，提升学生的就业能力。</w:t>
      </w:r>
    </w:p>
    <w:p>
      <w:pPr>
        <w:spacing w:line="360" w:lineRule="auto"/>
        <w:ind w:firstLine="480" w:firstLineChars="200"/>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w:t>
      </w:r>
      <w:r>
        <w:rPr>
          <w:rFonts w:hint="eastAsia" w:ascii="宋体" w:hAnsi="宋体" w:eastAsia="宋体" w:cs="宋体"/>
          <w:i w:val="0"/>
          <w:iCs w:val="0"/>
          <w:color w:val="auto"/>
          <w:kern w:val="0"/>
          <w:sz w:val="21"/>
          <w:szCs w:val="21"/>
          <w:highlight w:val="none"/>
          <w:u w:val="none"/>
          <w:lang w:val="en-US" w:eastAsia="zh-CN" w:bidi="ar"/>
        </w:rPr>
        <w:t>VBSE创业基础实训课</w:t>
      </w:r>
    </w:p>
    <w:p>
      <w:pPr>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通过VBSE创业训练，使学生能够掌握创业的基础知识和基本理论；熟悉创业的基本流程和基本方法；了解创业的法律法规和相关政策；激发创业意识、创新精神和创业能力；提高社会责任感、促进创业就业和全面发展。</w:t>
      </w:r>
    </w:p>
    <w:p>
      <w:pPr>
        <w:numPr>
          <w:ilvl w:val="0"/>
          <w:numId w:val="0"/>
        </w:numPr>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7.设计思维创新课</w:t>
      </w:r>
    </w:p>
    <w:p>
      <w:pPr>
        <w:numPr>
          <w:ilvl w:val="0"/>
          <w:numId w:val="0"/>
        </w:numPr>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本课程</w:t>
      </w:r>
      <w:r>
        <w:rPr>
          <w:rFonts w:hint="default" w:ascii="宋体" w:hAnsi="宋体" w:eastAsia="宋体" w:cs="宋体"/>
          <w:b w:val="0"/>
          <w:bCs w:val="0"/>
          <w:sz w:val="24"/>
          <w:szCs w:val="24"/>
          <w:lang w:val="en-US" w:eastAsia="zh-CN"/>
        </w:rPr>
        <w:t>介绍了创新设计思维的基本理论、工具及方法。同时，课程通过丰富的案例、形式多样的工作坊以及真实的项目，激发学生和学习者的创新动机。让创新设计思维变成一种DNA扎根在学生的思维模式中，从而对学生日后的学习、工作甚至是生活产生积极的影响</w:t>
      </w:r>
      <w:r>
        <w:rPr>
          <w:rFonts w:hint="eastAsia" w:ascii="宋体" w:hAnsi="宋体" w:eastAsia="宋体" w:cs="宋体"/>
          <w:b w:val="0"/>
          <w:bCs w:val="0"/>
          <w:sz w:val="24"/>
          <w:szCs w:val="24"/>
          <w:lang w:val="en-US" w:eastAsia="zh-CN"/>
        </w:rPr>
        <w:t>。</w:t>
      </w:r>
    </w:p>
    <w:p>
      <w:pPr>
        <w:numPr>
          <w:ilvl w:val="0"/>
          <w:numId w:val="0"/>
        </w:numPr>
        <w:spacing w:line="360" w:lineRule="auto"/>
        <w:ind w:leftChars="200"/>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w:t>
      </w:r>
      <w:r>
        <w:rPr>
          <w:rFonts w:hint="default" w:ascii="宋体" w:hAnsi="宋体" w:eastAsia="宋体" w:cs="宋体"/>
          <w:b w:val="0"/>
          <w:bCs w:val="0"/>
          <w:sz w:val="24"/>
          <w:szCs w:val="24"/>
          <w:lang w:val="en-US" w:eastAsia="zh-CN"/>
        </w:rPr>
        <w:t>ERP企业模拟经营管理沙盘课</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本课程通过学生</w:t>
      </w:r>
      <w:r>
        <w:rPr>
          <w:rFonts w:ascii="宋体" w:hAnsi="宋体" w:eastAsia="宋体"/>
          <w:sz w:val="24"/>
          <w:szCs w:val="24"/>
        </w:rPr>
        <w:t>以沙盘</w:t>
      </w:r>
      <w:r>
        <w:rPr>
          <w:rFonts w:hint="eastAsia" w:ascii="宋体" w:hAnsi="宋体" w:eastAsia="宋体"/>
          <w:sz w:val="24"/>
          <w:szCs w:val="24"/>
        </w:rPr>
        <w:t>模拟实践使学生置身于一个仿真企业的经营环境中，运用独特、直观的教具使学生亲自参与企业经营管理</w:t>
      </w:r>
      <w:r>
        <w:rPr>
          <w:rFonts w:hint="eastAsia" w:ascii="宋体" w:hAnsi="宋体" w:eastAsia="宋体"/>
          <w:sz w:val="24"/>
          <w:szCs w:val="24"/>
          <w:lang w:eastAsia="zh-CN"/>
        </w:rPr>
        <w:t>，</w:t>
      </w:r>
      <w:r>
        <w:rPr>
          <w:rFonts w:hint="eastAsia" w:ascii="宋体" w:hAnsi="宋体" w:eastAsia="宋体"/>
          <w:sz w:val="24"/>
          <w:szCs w:val="24"/>
        </w:rPr>
        <w:t>增强了学生的参与感和实际动手能力，为将来走上工作岗位打下坚实的基础。</w:t>
      </w:r>
    </w:p>
    <w:p>
      <w:pPr>
        <w:spacing w:line="360" w:lineRule="auto"/>
        <w:ind w:firstLine="480" w:firstLineChars="200"/>
        <w:rPr>
          <w:rFonts w:hint="eastAsia" w:ascii="宋体" w:hAnsi="宋体" w:eastAsia="宋体"/>
          <w:sz w:val="24"/>
          <w:szCs w:val="24"/>
          <w:lang w:val="en-US" w:eastAsia="zh-CN"/>
        </w:rPr>
      </w:pPr>
    </w:p>
    <w:p>
      <w:pPr>
        <w:spacing w:line="360" w:lineRule="auto"/>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9.物流客户服务</w:t>
      </w:r>
    </w:p>
    <w:p>
      <w:pPr>
        <w:spacing w:line="360" w:lineRule="auto"/>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学习物流客户服务的含义、特点和作用，物流客户关系管理的具体业务运作、物流客户信息的收集与整理、物流客户服务人员实务等。学生能够掌握企业物流活动中客户服务的基本知识和基本技能。</w:t>
      </w:r>
    </w:p>
    <w:p>
      <w:pPr>
        <w:spacing w:line="360" w:lineRule="auto"/>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10.物流法律法规</w:t>
      </w:r>
    </w:p>
    <w:p>
      <w:pPr>
        <w:spacing w:line="360" w:lineRule="auto"/>
        <w:ind w:firstLine="480" w:firstLineChars="200"/>
        <w:rPr>
          <w:rFonts w:hint="default" w:ascii="宋体" w:hAnsi="宋体" w:eastAsia="宋体"/>
          <w:sz w:val="24"/>
          <w:szCs w:val="24"/>
          <w:lang w:val="en-US" w:eastAsia="zh-CN"/>
        </w:rPr>
      </w:pPr>
      <w:r>
        <w:rPr>
          <w:rFonts w:hint="eastAsia" w:ascii="宋体" w:hAnsi="宋体" w:eastAsia="宋体"/>
          <w:sz w:val="24"/>
          <w:szCs w:val="24"/>
          <w:lang w:val="en-US" w:eastAsia="zh-CN"/>
        </w:rPr>
        <w:t>学习国内有关物流常用的法律法规，包括合同法、交通、保险、国际贸易等方面的法律、法规及国际惯例。学生能够熟悉与物流相关的法律、法规，在从事物流业务时，具有自觉遵守法律、法规的意识。</w:t>
      </w:r>
    </w:p>
    <w:p>
      <w:pPr>
        <w:spacing w:line="360" w:lineRule="auto"/>
        <w:ind w:firstLine="482" w:firstLineChars="20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实践课</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lang w:val="en-US" w:eastAsia="zh-CN"/>
        </w:rPr>
        <w:t>1</w:t>
      </w:r>
      <w:r>
        <w:rPr>
          <w:rFonts w:hint="eastAsia" w:ascii="宋体" w:hAnsi="宋体" w:eastAsia="宋体" w:cs="Times New Roman"/>
          <w:sz w:val="24"/>
          <w:szCs w:val="24"/>
          <w:lang w:eastAsia="zh-CN"/>
        </w:rPr>
        <w:t>.</w:t>
      </w:r>
      <w:r>
        <w:rPr>
          <w:rFonts w:hint="eastAsia" w:ascii="宋体" w:hAnsi="宋体" w:eastAsia="宋体" w:cs="Times New Roman"/>
          <w:sz w:val="24"/>
          <w:szCs w:val="24"/>
        </w:rPr>
        <w:t>军训：</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通过严格的军事训练提高学生的政治觉悟，激发爱国热情，发扬革命英雄主义精神，培养艰苦奋斗，刻苦耐劳的坚强毅力和集体主义精神，增强国防观念和组织纪律性，养成良好的学风和生活作风，掌握基本军事知识和技能。</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lang w:val="en-US" w:eastAsia="zh-CN"/>
        </w:rPr>
        <w:t>2.</w:t>
      </w:r>
      <w:r>
        <w:rPr>
          <w:rFonts w:hint="eastAsia" w:ascii="宋体" w:hAnsi="宋体" w:eastAsia="宋体"/>
          <w:sz w:val="24"/>
          <w:szCs w:val="24"/>
        </w:rPr>
        <w:t>岗</w:t>
      </w:r>
      <w:r>
        <w:rPr>
          <w:rFonts w:hint="eastAsia" w:ascii="宋体" w:hAnsi="宋体" w:eastAsia="宋体"/>
          <w:sz w:val="24"/>
          <w:szCs w:val="24"/>
          <w:lang w:eastAsia="zh-CN"/>
        </w:rPr>
        <w:t>位</w:t>
      </w:r>
      <w:r>
        <w:rPr>
          <w:rFonts w:hint="eastAsia" w:ascii="宋体" w:hAnsi="宋体" w:eastAsia="宋体"/>
          <w:sz w:val="24"/>
          <w:szCs w:val="24"/>
        </w:rPr>
        <w:t xml:space="preserve">实习   </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通过岗</w:t>
      </w:r>
      <w:r>
        <w:rPr>
          <w:rFonts w:hint="eastAsia" w:ascii="宋体" w:hAnsi="宋体" w:eastAsia="宋体" w:cs="Times New Roman"/>
          <w:sz w:val="24"/>
          <w:szCs w:val="24"/>
          <w:lang w:eastAsia="zh-CN"/>
        </w:rPr>
        <w:t>位</w:t>
      </w:r>
      <w:r>
        <w:rPr>
          <w:rFonts w:hint="eastAsia" w:ascii="宋体" w:hAnsi="宋体" w:eastAsia="宋体" w:cs="Times New Roman"/>
          <w:sz w:val="24"/>
          <w:szCs w:val="24"/>
        </w:rPr>
        <w:t>实习，让学生把课堂知识应用到相关物流企业生产活动中，要求学生适应企业文化及企业管理制度，了解物流企业运作方式，熟悉物流仓储管理流程，能熟练操作物流仓储设施设备、掌握物流成本管理的基本技能，加强学生职业道德及职业行为习惯培养，努力锻造个人的工匠精神品质，为毕业后参加工作打下良好的基础。</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lang w:val="en-US" w:eastAsia="zh-CN"/>
        </w:rPr>
        <w:t>3.</w:t>
      </w:r>
      <w:r>
        <w:rPr>
          <w:rFonts w:hint="eastAsia" w:ascii="宋体" w:hAnsi="宋体" w:eastAsia="宋体" w:cs="Times New Roman"/>
          <w:sz w:val="24"/>
          <w:szCs w:val="24"/>
        </w:rPr>
        <w:t>毕业教育</w:t>
      </w:r>
    </w:p>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rPr>
        <w:t>在毕业前进行的一次比较全面系统的思想教育，</w:t>
      </w:r>
      <w:r>
        <w:rPr>
          <w:rFonts w:hint="default" w:ascii="宋体" w:hAnsi="宋体" w:eastAsia="宋体" w:cs="Times New Roman"/>
          <w:sz w:val="24"/>
          <w:szCs w:val="24"/>
          <w:lang w:val="en-US" w:eastAsia="zh-CN"/>
        </w:rPr>
        <w:t>进一步树立正确的人生观、价值观、择业观，培养良好的职业道德。全面介绍就业形势和就业政策，对毕业生进行择业指导</w:t>
      </w:r>
      <w:r>
        <w:rPr>
          <w:rFonts w:hint="eastAsia" w:ascii="宋体" w:hAnsi="宋体" w:eastAsia="宋体" w:cs="Times New Roman"/>
          <w:sz w:val="24"/>
          <w:szCs w:val="24"/>
          <w:lang w:val="en-US" w:eastAsia="zh-CN"/>
        </w:rPr>
        <w:t>，制作个人简历，了解</w:t>
      </w:r>
      <w:r>
        <w:rPr>
          <w:rFonts w:hint="default" w:ascii="宋体" w:hAnsi="宋体" w:eastAsia="宋体" w:cs="Times New Roman"/>
          <w:sz w:val="24"/>
          <w:szCs w:val="24"/>
          <w:lang w:val="en-US" w:eastAsia="zh-CN"/>
        </w:rPr>
        <w:t>面试技巧</w:t>
      </w:r>
      <w:r>
        <w:rPr>
          <w:rFonts w:hint="eastAsia" w:ascii="宋体" w:hAnsi="宋体" w:eastAsia="宋体" w:cs="Times New Roman"/>
          <w:sz w:val="24"/>
          <w:szCs w:val="24"/>
          <w:lang w:val="en-US" w:eastAsia="zh-CN"/>
        </w:rPr>
        <w:t>，注意个人形象，言行举止得体，</w:t>
      </w:r>
      <w:r>
        <w:rPr>
          <w:rFonts w:hint="default" w:ascii="宋体" w:hAnsi="宋体" w:eastAsia="宋体" w:cs="Times New Roman"/>
          <w:sz w:val="24"/>
          <w:szCs w:val="24"/>
          <w:lang w:val="en-US" w:eastAsia="zh-CN"/>
        </w:rPr>
        <w:t>修饰仪表仪容</w:t>
      </w:r>
      <w:r>
        <w:rPr>
          <w:rFonts w:hint="eastAsia" w:ascii="宋体" w:hAnsi="宋体" w:eastAsia="宋体" w:cs="Times New Roman"/>
          <w:sz w:val="24"/>
          <w:szCs w:val="24"/>
          <w:lang w:val="en-US" w:eastAsia="zh-CN"/>
        </w:rPr>
        <w:t>等。</w:t>
      </w:r>
    </w:p>
    <w:p>
      <w:pPr>
        <w:spacing w:line="360" w:lineRule="auto"/>
        <w:ind w:firstLine="480" w:firstLineChars="200"/>
        <w:rPr>
          <w:rFonts w:hint="eastAsia" w:ascii="宋体" w:hAnsi="宋体" w:eastAsia="宋体" w:cs="Times New Roman"/>
          <w:sz w:val="24"/>
          <w:szCs w:val="24"/>
          <w:lang w:val="en-US" w:eastAsia="zh-CN"/>
        </w:rPr>
      </w:pPr>
    </w:p>
    <w:p>
      <w:pPr>
        <w:spacing w:line="360" w:lineRule="auto"/>
        <w:ind w:firstLine="480" w:firstLineChars="200"/>
        <w:rPr>
          <w:rFonts w:hint="eastAsia" w:ascii="宋体" w:hAnsi="宋体" w:eastAsia="宋体" w:cs="Times New Roman"/>
          <w:sz w:val="24"/>
          <w:szCs w:val="24"/>
          <w:lang w:val="en-US" w:eastAsia="zh-CN"/>
        </w:rPr>
      </w:pPr>
    </w:p>
    <w:p>
      <w:pPr>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br w:type="page"/>
      </w:r>
    </w:p>
    <w:p>
      <w:pPr>
        <w:pStyle w:val="15"/>
        <w:numPr>
          <w:ilvl w:val="0"/>
          <w:numId w:val="3"/>
        </w:numPr>
        <w:overflowPunct w:val="0"/>
        <w:adjustRightInd w:val="0"/>
        <w:spacing w:line="360" w:lineRule="auto"/>
        <w:ind w:firstLine="482"/>
        <w:outlineLvl w:val="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教学进程总体安排（见附表）</w:t>
      </w:r>
    </w:p>
    <w:p>
      <w:pPr>
        <w:pStyle w:val="15"/>
        <w:numPr>
          <w:ilvl w:val="0"/>
          <w:numId w:val="4"/>
        </w:numPr>
        <w:overflowPunct w:val="0"/>
        <w:adjustRightInd w:val="0"/>
        <w:spacing w:line="360" w:lineRule="auto"/>
        <w:ind w:firstLine="482"/>
        <w:outlineLvl w:val="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教学活动周数分配表</w:t>
      </w:r>
    </w:p>
    <w:tbl>
      <w:tblPr>
        <w:tblStyle w:val="9"/>
        <w:tblW w:w="6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702"/>
        <w:gridCol w:w="703"/>
        <w:gridCol w:w="703"/>
        <w:gridCol w:w="703"/>
        <w:gridCol w:w="703"/>
        <w:gridCol w:w="703"/>
        <w:gridCol w:w="703"/>
        <w:gridCol w:w="703"/>
        <w:gridCol w:w="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0" w:hRule="atLeast"/>
          <w:jc w:val="center"/>
        </w:trPr>
        <w:tc>
          <w:tcPr>
            <w:tcW w:w="652" w:type="dxa"/>
            <w:vAlign w:val="top"/>
          </w:tcPr>
          <w:p>
            <w:pPr>
              <w:pStyle w:val="19"/>
              <w:adjustRightInd/>
              <w:spacing w:line="240" w:lineRule="auto"/>
              <w:rPr>
                <w:rFonts w:ascii="宋体" w:hAnsi="宋体" w:cs="Calibri"/>
                <w:bCs/>
                <w:kern w:val="0"/>
                <w:sz w:val="24"/>
                <w:szCs w:val="24"/>
              </w:rPr>
            </w:pPr>
            <w:r>
              <w:rPr>
                <w:rFonts w:ascii="宋体" w:hAnsi="宋体"/>
                <w:sz w:val="24"/>
                <w:szCs w:val="24"/>
              </w:rPr>
              <w:pict>
                <v:shape id="直接箭头连接符 1" o:spid="_x0000_s2052" o:spt="32" type="#_x0000_t32" style="position:absolute;left:0pt;margin-left:-2.65pt;margin-top:3.15pt;height:123.1pt;width:29.2pt;z-index:251659264;mso-width-relative:page;mso-height-relative:page;" filled="f" stroked="t" coordsize="21600,21600">
                  <v:path arrowok="t"/>
                  <v:fill on="f" focussize="0,0"/>
                  <v:stroke/>
                  <v:imagedata o:title=""/>
                  <o:lock v:ext="edit" aspectratio="f"/>
                  <w10:anchorlock/>
                </v:shape>
              </w:pict>
            </w:r>
          </w:p>
          <w:p>
            <w:pPr>
              <w:pStyle w:val="19"/>
              <w:adjustRightInd/>
              <w:spacing w:line="240" w:lineRule="auto"/>
              <w:rPr>
                <w:rFonts w:ascii="宋体" w:hAnsi="宋体" w:cs="Calibri"/>
                <w:bCs/>
                <w:kern w:val="0"/>
                <w:sz w:val="24"/>
                <w:szCs w:val="24"/>
              </w:rPr>
            </w:pPr>
            <w:r>
              <w:rPr>
                <w:rFonts w:hint="eastAsia" w:ascii="宋体" w:hAnsi="宋体" w:cs="仿宋"/>
                <w:bCs/>
                <w:kern w:val="0"/>
                <w:sz w:val="24"/>
                <w:szCs w:val="24"/>
              </w:rPr>
              <w:t>内</w:t>
            </w:r>
          </w:p>
          <w:p>
            <w:pPr>
              <w:pStyle w:val="19"/>
              <w:adjustRightInd/>
              <w:spacing w:line="240" w:lineRule="auto"/>
              <w:rPr>
                <w:rFonts w:ascii="宋体" w:hAnsi="宋体" w:cs="Calibri"/>
                <w:bCs/>
                <w:kern w:val="0"/>
                <w:sz w:val="24"/>
                <w:szCs w:val="24"/>
              </w:rPr>
            </w:pPr>
            <w:r>
              <w:rPr>
                <w:rFonts w:hint="eastAsia" w:ascii="宋体" w:hAnsi="宋体" w:cs="仿宋"/>
                <w:bCs/>
                <w:kern w:val="0"/>
                <w:sz w:val="24"/>
                <w:szCs w:val="24"/>
              </w:rPr>
              <w:t>容</w:t>
            </w:r>
          </w:p>
          <w:p>
            <w:pPr>
              <w:snapToGrid w:val="0"/>
              <w:rPr>
                <w:rFonts w:ascii="宋体" w:hAnsi="宋体" w:eastAsia="宋体"/>
                <w:bCs/>
                <w:kern w:val="0"/>
                <w:sz w:val="24"/>
                <w:szCs w:val="24"/>
              </w:rPr>
            </w:pPr>
          </w:p>
          <w:p>
            <w:pPr>
              <w:snapToGrid w:val="0"/>
              <w:rPr>
                <w:rFonts w:ascii="宋体" w:hAnsi="宋体" w:eastAsia="宋体"/>
                <w:bCs/>
                <w:kern w:val="0"/>
                <w:sz w:val="24"/>
                <w:szCs w:val="24"/>
              </w:rPr>
            </w:pPr>
          </w:p>
          <w:p>
            <w:pPr>
              <w:snapToGrid w:val="0"/>
              <w:rPr>
                <w:rFonts w:ascii="宋体" w:hAnsi="宋体" w:eastAsia="宋体"/>
                <w:bCs/>
                <w:kern w:val="0"/>
                <w:sz w:val="24"/>
                <w:szCs w:val="24"/>
              </w:rPr>
            </w:pPr>
          </w:p>
          <w:p>
            <w:pPr>
              <w:snapToGrid w:val="0"/>
              <w:rPr>
                <w:rFonts w:ascii="宋体" w:hAnsi="宋体" w:eastAsia="宋体"/>
                <w:bCs/>
                <w:kern w:val="0"/>
                <w:sz w:val="24"/>
                <w:szCs w:val="24"/>
              </w:rPr>
            </w:pPr>
            <w:r>
              <w:rPr>
                <w:rFonts w:hint="eastAsia" w:ascii="宋体" w:hAnsi="宋体" w:eastAsia="宋体" w:cs="仿宋"/>
                <w:bCs/>
                <w:kern w:val="0"/>
                <w:sz w:val="24"/>
                <w:szCs w:val="24"/>
              </w:rPr>
              <w:t>学</w:t>
            </w:r>
          </w:p>
          <w:p>
            <w:pPr>
              <w:snapToGrid w:val="0"/>
              <w:rPr>
                <w:rFonts w:ascii="宋体" w:hAnsi="宋体" w:eastAsia="宋体"/>
                <w:bCs/>
                <w:kern w:val="0"/>
                <w:sz w:val="24"/>
                <w:szCs w:val="24"/>
              </w:rPr>
            </w:pPr>
            <w:r>
              <w:rPr>
                <w:rFonts w:hint="eastAsia" w:ascii="宋体" w:hAnsi="宋体" w:eastAsia="宋体" w:cs="仿宋"/>
                <w:bCs/>
                <w:kern w:val="0"/>
                <w:sz w:val="24"/>
                <w:szCs w:val="24"/>
              </w:rPr>
              <w:t>期</w:t>
            </w:r>
          </w:p>
        </w:tc>
        <w:tc>
          <w:tcPr>
            <w:tcW w:w="702" w:type="dxa"/>
            <w:textDirection w:val="tbRlV"/>
            <w:vAlign w:val="center"/>
          </w:tcPr>
          <w:p>
            <w:pPr>
              <w:pStyle w:val="19"/>
              <w:spacing w:line="240" w:lineRule="auto"/>
              <w:ind w:left="173" w:leftChars="54" w:right="226" w:firstLine="360" w:firstLineChars="150"/>
              <w:jc w:val="both"/>
              <w:rPr>
                <w:rFonts w:ascii="宋体" w:hAnsi="宋体" w:cs="Calibri"/>
                <w:sz w:val="24"/>
                <w:szCs w:val="24"/>
              </w:rPr>
            </w:pPr>
            <w:r>
              <w:rPr>
                <w:rFonts w:hint="eastAsia" w:ascii="宋体" w:hAnsi="宋体" w:cs="仿宋"/>
                <w:sz w:val="24"/>
                <w:szCs w:val="24"/>
              </w:rPr>
              <w:t>校内教学</w:t>
            </w:r>
          </w:p>
        </w:tc>
        <w:tc>
          <w:tcPr>
            <w:tcW w:w="703" w:type="dxa"/>
            <w:textDirection w:val="tbRlV"/>
            <w:vAlign w:val="center"/>
          </w:tcPr>
          <w:p>
            <w:pPr>
              <w:pStyle w:val="19"/>
              <w:spacing w:line="240" w:lineRule="auto"/>
              <w:ind w:left="173" w:leftChars="54" w:right="226"/>
              <w:rPr>
                <w:rFonts w:ascii="宋体" w:hAnsi="宋体" w:cs="Calibri"/>
                <w:sz w:val="24"/>
                <w:szCs w:val="24"/>
              </w:rPr>
            </w:pPr>
            <w:r>
              <w:rPr>
                <w:rFonts w:hint="eastAsia" w:ascii="宋体" w:hAnsi="宋体" w:cs="仿宋"/>
                <w:sz w:val="24"/>
                <w:szCs w:val="24"/>
              </w:rPr>
              <w:t>军训</w:t>
            </w:r>
          </w:p>
        </w:tc>
        <w:tc>
          <w:tcPr>
            <w:tcW w:w="703" w:type="dxa"/>
            <w:textDirection w:val="tbRlV"/>
            <w:vAlign w:val="center"/>
          </w:tcPr>
          <w:p>
            <w:pPr>
              <w:pStyle w:val="19"/>
              <w:spacing w:line="240" w:lineRule="auto"/>
              <w:ind w:left="173" w:leftChars="54" w:right="226" w:firstLine="360" w:firstLineChars="150"/>
              <w:jc w:val="both"/>
              <w:rPr>
                <w:rFonts w:ascii="宋体" w:hAnsi="宋体" w:cs="Calibri"/>
                <w:sz w:val="24"/>
                <w:szCs w:val="24"/>
              </w:rPr>
            </w:pPr>
            <w:r>
              <w:rPr>
                <w:rFonts w:hint="eastAsia" w:ascii="宋体" w:hAnsi="宋体" w:cs="仿宋"/>
                <w:sz w:val="24"/>
                <w:szCs w:val="24"/>
              </w:rPr>
              <w:t>劳动周</w:t>
            </w:r>
          </w:p>
        </w:tc>
        <w:tc>
          <w:tcPr>
            <w:tcW w:w="703" w:type="dxa"/>
            <w:textDirection w:val="tbRlV"/>
            <w:vAlign w:val="center"/>
          </w:tcPr>
          <w:p>
            <w:pPr>
              <w:pStyle w:val="19"/>
              <w:spacing w:line="240" w:lineRule="auto"/>
              <w:ind w:left="173" w:leftChars="54" w:right="226" w:firstLine="360" w:firstLineChars="150"/>
              <w:jc w:val="both"/>
              <w:rPr>
                <w:rFonts w:ascii="宋体" w:hAnsi="宋体" w:cs="仿宋"/>
                <w:sz w:val="24"/>
                <w:szCs w:val="24"/>
              </w:rPr>
            </w:pPr>
            <w:r>
              <w:rPr>
                <w:rFonts w:ascii="宋体" w:hAnsi="宋体" w:cs="仿宋"/>
                <w:sz w:val="24"/>
                <w:szCs w:val="24"/>
              </w:rPr>
              <w:t xml:space="preserve"> </w:t>
            </w:r>
            <w:r>
              <w:rPr>
                <w:rFonts w:hint="eastAsia" w:ascii="宋体" w:hAnsi="宋体" w:cs="仿宋"/>
                <w:sz w:val="24"/>
                <w:szCs w:val="24"/>
              </w:rPr>
              <w:t>岗 位</w:t>
            </w:r>
            <w:r>
              <w:rPr>
                <w:rFonts w:ascii="宋体" w:hAnsi="宋体" w:cs="仿宋"/>
                <w:sz w:val="24"/>
                <w:szCs w:val="24"/>
              </w:rPr>
              <w:t xml:space="preserve"> </w:t>
            </w:r>
            <w:r>
              <w:rPr>
                <w:rFonts w:hint="eastAsia" w:ascii="宋体" w:hAnsi="宋体" w:cs="仿宋"/>
                <w:sz w:val="24"/>
                <w:szCs w:val="24"/>
              </w:rPr>
              <w:t>实</w:t>
            </w:r>
            <w:r>
              <w:rPr>
                <w:rFonts w:ascii="宋体" w:hAnsi="宋体" w:cs="仿宋"/>
                <w:sz w:val="24"/>
                <w:szCs w:val="24"/>
              </w:rPr>
              <w:t xml:space="preserve"> </w:t>
            </w:r>
            <w:r>
              <w:rPr>
                <w:rFonts w:hint="eastAsia" w:ascii="宋体" w:hAnsi="宋体" w:cs="仿宋"/>
                <w:sz w:val="24"/>
                <w:szCs w:val="24"/>
              </w:rPr>
              <w:t>习</w:t>
            </w:r>
          </w:p>
        </w:tc>
        <w:tc>
          <w:tcPr>
            <w:tcW w:w="703" w:type="dxa"/>
            <w:textDirection w:val="tbRlV"/>
            <w:vAlign w:val="top"/>
          </w:tcPr>
          <w:p>
            <w:pPr>
              <w:ind w:firstLine="720" w:firstLineChars="300"/>
              <w:jc w:val="left"/>
              <w:rPr>
                <w:rFonts w:hint="eastAsia" w:ascii="宋体" w:hAnsi="宋体" w:eastAsia="宋体" w:cs="仿宋"/>
                <w:sz w:val="24"/>
                <w:szCs w:val="24"/>
              </w:rPr>
            </w:pPr>
            <w:r>
              <w:rPr>
                <w:rFonts w:hint="eastAsia" w:ascii="宋体" w:hAnsi="宋体" w:eastAsia="宋体"/>
                <w:sz w:val="24"/>
                <w:szCs w:val="24"/>
              </w:rPr>
              <w:t>毕业教育</w:t>
            </w:r>
          </w:p>
        </w:tc>
        <w:tc>
          <w:tcPr>
            <w:tcW w:w="703" w:type="dxa"/>
            <w:textDirection w:val="tbRlV"/>
            <w:vAlign w:val="center"/>
          </w:tcPr>
          <w:p>
            <w:pPr>
              <w:pStyle w:val="19"/>
              <w:spacing w:line="240" w:lineRule="auto"/>
              <w:ind w:left="173" w:leftChars="54" w:right="226" w:firstLine="360" w:firstLineChars="150"/>
              <w:jc w:val="both"/>
              <w:rPr>
                <w:rFonts w:ascii="宋体" w:hAnsi="宋体" w:cs="Calibri"/>
                <w:sz w:val="24"/>
                <w:szCs w:val="24"/>
              </w:rPr>
            </w:pPr>
            <w:r>
              <w:rPr>
                <w:rFonts w:hint="eastAsia" w:ascii="宋体" w:hAnsi="宋体" w:cs="仿宋"/>
                <w:sz w:val="24"/>
                <w:szCs w:val="24"/>
              </w:rPr>
              <w:t>考</w:t>
            </w:r>
            <w:r>
              <w:rPr>
                <w:rFonts w:ascii="宋体" w:hAnsi="宋体" w:cs="仿宋"/>
                <w:sz w:val="24"/>
                <w:szCs w:val="24"/>
              </w:rPr>
              <w:t xml:space="preserve">        </w:t>
            </w:r>
            <w:r>
              <w:rPr>
                <w:rFonts w:hint="eastAsia" w:ascii="宋体" w:hAnsi="宋体" w:cs="仿宋"/>
                <w:sz w:val="24"/>
                <w:szCs w:val="24"/>
              </w:rPr>
              <w:t>核</w:t>
            </w:r>
          </w:p>
        </w:tc>
        <w:tc>
          <w:tcPr>
            <w:tcW w:w="703" w:type="dxa"/>
            <w:textDirection w:val="tbRlV"/>
            <w:vAlign w:val="center"/>
          </w:tcPr>
          <w:p>
            <w:pPr>
              <w:pStyle w:val="19"/>
              <w:spacing w:line="240" w:lineRule="auto"/>
              <w:ind w:left="173" w:leftChars="54" w:right="226" w:firstLine="360" w:firstLineChars="150"/>
              <w:jc w:val="both"/>
              <w:rPr>
                <w:rFonts w:ascii="宋体" w:hAnsi="宋体" w:cs="Calibri"/>
                <w:sz w:val="24"/>
                <w:szCs w:val="24"/>
              </w:rPr>
            </w:pPr>
            <w:r>
              <w:rPr>
                <w:rFonts w:hint="eastAsia" w:ascii="宋体" w:hAnsi="宋体" w:cs="仿宋"/>
                <w:sz w:val="24"/>
                <w:szCs w:val="24"/>
              </w:rPr>
              <w:t>机</w:t>
            </w:r>
            <w:r>
              <w:rPr>
                <w:rFonts w:ascii="宋体" w:hAnsi="宋体" w:cs="仿宋"/>
                <w:sz w:val="24"/>
                <w:szCs w:val="24"/>
              </w:rPr>
              <w:t xml:space="preserve">        </w:t>
            </w:r>
            <w:r>
              <w:rPr>
                <w:rFonts w:hint="eastAsia" w:ascii="宋体" w:hAnsi="宋体" w:cs="仿宋"/>
                <w:sz w:val="24"/>
                <w:szCs w:val="24"/>
              </w:rPr>
              <w:t>动</w:t>
            </w:r>
          </w:p>
        </w:tc>
        <w:tc>
          <w:tcPr>
            <w:tcW w:w="703" w:type="dxa"/>
            <w:textDirection w:val="tbRlV"/>
            <w:vAlign w:val="center"/>
          </w:tcPr>
          <w:p>
            <w:pPr>
              <w:pStyle w:val="19"/>
              <w:spacing w:line="240" w:lineRule="auto"/>
              <w:ind w:left="173" w:leftChars="54" w:right="226" w:firstLine="360" w:firstLineChars="150"/>
              <w:jc w:val="both"/>
              <w:rPr>
                <w:rFonts w:ascii="宋体" w:hAnsi="宋体" w:cs="Calibri"/>
                <w:sz w:val="24"/>
                <w:szCs w:val="24"/>
              </w:rPr>
            </w:pPr>
            <w:r>
              <w:rPr>
                <w:rFonts w:hint="eastAsia" w:ascii="宋体" w:hAnsi="宋体" w:cs="仿宋"/>
                <w:sz w:val="24"/>
                <w:szCs w:val="24"/>
              </w:rPr>
              <w:t>寒</w:t>
            </w:r>
            <w:r>
              <w:rPr>
                <w:rFonts w:ascii="宋体" w:hAnsi="宋体" w:cs="仿宋"/>
                <w:sz w:val="24"/>
                <w:szCs w:val="24"/>
              </w:rPr>
              <w:t xml:space="preserve">   </w:t>
            </w:r>
            <w:r>
              <w:rPr>
                <w:rFonts w:hint="eastAsia" w:ascii="宋体" w:hAnsi="宋体" w:cs="仿宋"/>
                <w:sz w:val="24"/>
                <w:szCs w:val="24"/>
              </w:rPr>
              <w:t>暑</w:t>
            </w:r>
            <w:r>
              <w:rPr>
                <w:rFonts w:ascii="宋体" w:hAnsi="宋体" w:cs="仿宋"/>
                <w:sz w:val="24"/>
                <w:szCs w:val="24"/>
              </w:rPr>
              <w:t xml:space="preserve">    </w:t>
            </w:r>
            <w:r>
              <w:rPr>
                <w:rFonts w:hint="eastAsia" w:ascii="宋体" w:hAnsi="宋体" w:cs="仿宋"/>
                <w:sz w:val="24"/>
                <w:szCs w:val="24"/>
              </w:rPr>
              <w:t>假</w:t>
            </w:r>
          </w:p>
        </w:tc>
        <w:tc>
          <w:tcPr>
            <w:tcW w:w="703" w:type="dxa"/>
            <w:textDirection w:val="tbRlV"/>
            <w:vAlign w:val="center"/>
          </w:tcPr>
          <w:p>
            <w:pPr>
              <w:pStyle w:val="19"/>
              <w:spacing w:line="240" w:lineRule="auto"/>
              <w:ind w:left="173" w:leftChars="54" w:right="226" w:firstLine="360" w:firstLineChars="150"/>
              <w:jc w:val="both"/>
              <w:rPr>
                <w:rFonts w:ascii="宋体" w:hAnsi="宋体" w:cs="Calibri"/>
                <w:sz w:val="24"/>
                <w:szCs w:val="24"/>
              </w:rPr>
            </w:pPr>
            <w:r>
              <w:rPr>
                <w:rFonts w:hint="eastAsia" w:ascii="宋体" w:hAnsi="宋体" w:cs="仿宋"/>
                <w:sz w:val="24"/>
                <w:szCs w:val="24"/>
              </w:rPr>
              <w:t>合</w:t>
            </w:r>
            <w:r>
              <w:rPr>
                <w:rFonts w:ascii="宋体" w:hAnsi="宋体" w:cs="仿宋"/>
                <w:sz w:val="24"/>
                <w:szCs w:val="24"/>
              </w:rPr>
              <w:t xml:space="preserve">        </w:t>
            </w:r>
            <w:r>
              <w:rPr>
                <w:rFonts w:hint="eastAsia" w:ascii="宋体" w:hAnsi="宋体" w:cs="仿宋"/>
                <w:sz w:val="24"/>
                <w:szCs w:val="24"/>
              </w:rPr>
              <w:t>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652" w:type="dxa"/>
            <w:vAlign w:val="center"/>
          </w:tcPr>
          <w:p>
            <w:pPr>
              <w:snapToGrid w:val="0"/>
              <w:jc w:val="center"/>
              <w:rPr>
                <w:rFonts w:ascii="宋体" w:hAnsi="宋体" w:eastAsia="宋体"/>
                <w:bCs/>
                <w:kern w:val="0"/>
                <w:sz w:val="24"/>
                <w:szCs w:val="24"/>
              </w:rPr>
            </w:pPr>
            <w:r>
              <w:rPr>
                <w:rFonts w:hint="eastAsia" w:ascii="宋体" w:hAnsi="宋体" w:eastAsia="宋体" w:cs="宋体"/>
                <w:bCs/>
                <w:kern w:val="0"/>
                <w:sz w:val="24"/>
                <w:szCs w:val="24"/>
              </w:rPr>
              <w:t>一</w:t>
            </w:r>
          </w:p>
        </w:tc>
        <w:tc>
          <w:tcPr>
            <w:tcW w:w="702" w:type="dxa"/>
            <w:vAlign w:val="center"/>
          </w:tcPr>
          <w:p>
            <w:pPr>
              <w:pStyle w:val="19"/>
              <w:spacing w:line="240" w:lineRule="auto"/>
              <w:rPr>
                <w:rFonts w:hint="eastAsia" w:ascii="宋体" w:hAnsi="宋体" w:eastAsia="宋体" w:cs="Calibri"/>
                <w:bCs/>
                <w:sz w:val="24"/>
                <w:szCs w:val="24"/>
                <w:lang w:eastAsia="zh-CN"/>
              </w:rPr>
            </w:pPr>
            <w:r>
              <w:rPr>
                <w:rFonts w:hint="eastAsia" w:ascii="宋体" w:hAnsi="宋体" w:cs="Calibri"/>
                <w:bCs/>
                <w:sz w:val="24"/>
                <w:szCs w:val="24"/>
              </w:rPr>
              <w:t>1</w:t>
            </w:r>
            <w:r>
              <w:rPr>
                <w:rFonts w:hint="eastAsia" w:ascii="宋体" w:hAnsi="宋体" w:cs="Calibri"/>
                <w:bCs/>
                <w:sz w:val="24"/>
                <w:szCs w:val="24"/>
                <w:lang w:val="en-US" w:eastAsia="zh-CN"/>
              </w:rPr>
              <w:t>7</w:t>
            </w:r>
          </w:p>
        </w:tc>
        <w:tc>
          <w:tcPr>
            <w:tcW w:w="703" w:type="dxa"/>
            <w:vAlign w:val="center"/>
          </w:tcPr>
          <w:p>
            <w:pPr>
              <w:pStyle w:val="19"/>
              <w:spacing w:line="240" w:lineRule="auto"/>
              <w:rPr>
                <w:rFonts w:ascii="宋体" w:hAnsi="宋体" w:cs="Calibri"/>
                <w:bCs/>
                <w:sz w:val="24"/>
                <w:szCs w:val="24"/>
              </w:rPr>
            </w:pPr>
            <w:r>
              <w:rPr>
                <w:rFonts w:ascii="宋体" w:hAnsi="宋体" w:cs="Calibri"/>
                <w:bCs/>
                <w:sz w:val="24"/>
                <w:szCs w:val="24"/>
              </w:rPr>
              <w:t>1</w:t>
            </w:r>
          </w:p>
        </w:tc>
        <w:tc>
          <w:tcPr>
            <w:tcW w:w="703" w:type="dxa"/>
            <w:vAlign w:val="center"/>
          </w:tcPr>
          <w:p>
            <w:pPr>
              <w:pStyle w:val="19"/>
              <w:spacing w:line="240" w:lineRule="auto"/>
              <w:ind w:left="113" w:right="113"/>
              <w:rPr>
                <w:rFonts w:ascii="宋体" w:hAnsi="宋体" w:cs="Calibri"/>
                <w:bCs/>
                <w:kern w:val="0"/>
                <w:sz w:val="24"/>
                <w:szCs w:val="24"/>
              </w:rPr>
            </w:pPr>
          </w:p>
        </w:tc>
        <w:tc>
          <w:tcPr>
            <w:tcW w:w="703" w:type="dxa"/>
            <w:vAlign w:val="center"/>
          </w:tcPr>
          <w:p>
            <w:pPr>
              <w:pStyle w:val="19"/>
              <w:spacing w:line="240" w:lineRule="auto"/>
              <w:ind w:left="113" w:right="113"/>
              <w:rPr>
                <w:rFonts w:ascii="宋体" w:hAnsi="宋体" w:cs="Calibri"/>
                <w:bCs/>
                <w:i/>
                <w:iCs/>
                <w:kern w:val="0"/>
                <w:sz w:val="24"/>
                <w:szCs w:val="24"/>
              </w:rPr>
            </w:pPr>
          </w:p>
        </w:tc>
        <w:tc>
          <w:tcPr>
            <w:tcW w:w="703" w:type="dxa"/>
            <w:vAlign w:val="center"/>
          </w:tcPr>
          <w:p>
            <w:pPr>
              <w:pStyle w:val="19"/>
              <w:spacing w:line="240" w:lineRule="auto"/>
              <w:ind w:right="113"/>
              <w:rPr>
                <w:rFonts w:ascii="宋体" w:hAnsi="宋体" w:cs="Calibri"/>
                <w:bCs/>
                <w:kern w:val="0"/>
                <w:sz w:val="24"/>
                <w:szCs w:val="24"/>
              </w:rPr>
            </w:pPr>
          </w:p>
        </w:tc>
        <w:tc>
          <w:tcPr>
            <w:tcW w:w="703" w:type="dxa"/>
            <w:vAlign w:val="center"/>
          </w:tcPr>
          <w:p>
            <w:pPr>
              <w:pStyle w:val="19"/>
              <w:spacing w:line="240" w:lineRule="auto"/>
              <w:ind w:right="113"/>
              <w:rPr>
                <w:rFonts w:ascii="宋体" w:hAnsi="宋体" w:cs="Calibri"/>
                <w:bCs/>
                <w:kern w:val="0"/>
                <w:sz w:val="24"/>
                <w:szCs w:val="24"/>
              </w:rPr>
            </w:pPr>
            <w:r>
              <w:rPr>
                <w:rFonts w:ascii="宋体" w:hAnsi="宋体" w:cs="Calibri"/>
                <w:bCs/>
                <w:kern w:val="0"/>
                <w:sz w:val="24"/>
                <w:szCs w:val="24"/>
              </w:rPr>
              <w:t>1</w:t>
            </w:r>
          </w:p>
        </w:tc>
        <w:tc>
          <w:tcPr>
            <w:tcW w:w="703" w:type="dxa"/>
            <w:vAlign w:val="center"/>
          </w:tcPr>
          <w:p>
            <w:pPr>
              <w:pStyle w:val="19"/>
              <w:spacing w:line="240" w:lineRule="auto"/>
              <w:ind w:right="113"/>
              <w:rPr>
                <w:rFonts w:ascii="宋体" w:hAnsi="宋体" w:cs="Calibri"/>
                <w:bCs/>
                <w:kern w:val="0"/>
                <w:sz w:val="24"/>
                <w:szCs w:val="24"/>
              </w:rPr>
            </w:pPr>
            <w:r>
              <w:rPr>
                <w:rFonts w:ascii="宋体" w:hAnsi="宋体" w:cs="Calibri"/>
                <w:bCs/>
                <w:kern w:val="0"/>
                <w:sz w:val="24"/>
                <w:szCs w:val="24"/>
              </w:rPr>
              <w:t>1</w:t>
            </w:r>
          </w:p>
        </w:tc>
        <w:tc>
          <w:tcPr>
            <w:tcW w:w="703" w:type="dxa"/>
            <w:vAlign w:val="center"/>
          </w:tcPr>
          <w:p>
            <w:pPr>
              <w:pStyle w:val="19"/>
              <w:spacing w:line="240" w:lineRule="auto"/>
              <w:rPr>
                <w:rFonts w:ascii="宋体" w:hAnsi="宋体" w:cs="Calibri"/>
                <w:bCs/>
                <w:kern w:val="0"/>
                <w:sz w:val="24"/>
                <w:szCs w:val="24"/>
              </w:rPr>
            </w:pPr>
            <w:r>
              <w:rPr>
                <w:rFonts w:ascii="宋体" w:hAnsi="宋体" w:cs="Calibri"/>
                <w:bCs/>
                <w:kern w:val="0"/>
                <w:sz w:val="24"/>
                <w:szCs w:val="24"/>
              </w:rPr>
              <w:t>4</w:t>
            </w:r>
          </w:p>
        </w:tc>
        <w:tc>
          <w:tcPr>
            <w:tcW w:w="703" w:type="dxa"/>
            <w:vAlign w:val="center"/>
          </w:tcPr>
          <w:p>
            <w:pPr>
              <w:pStyle w:val="18"/>
              <w:adjustRightInd/>
              <w:spacing w:before="0" w:after="0" w:line="240" w:lineRule="auto"/>
              <w:ind w:left="-157" w:leftChars="-49" w:right="-163" w:rightChars="-51"/>
              <w:rPr>
                <w:rFonts w:hint="eastAsia" w:ascii="宋体" w:hAnsi="宋体" w:eastAsia="宋体" w:cs="宋体"/>
                <w:bCs/>
                <w:kern w:val="0"/>
                <w:sz w:val="24"/>
                <w:szCs w:val="24"/>
                <w:lang w:eastAsia="zh-CN"/>
              </w:rPr>
            </w:pPr>
            <w:r>
              <w:rPr>
                <w:rFonts w:ascii="宋体" w:hAnsi="宋体" w:eastAsia="宋体" w:cs="宋体"/>
                <w:bCs/>
                <w:kern w:val="0"/>
                <w:sz w:val="24"/>
                <w:szCs w:val="24"/>
              </w:rPr>
              <w:t>2</w:t>
            </w:r>
            <w:r>
              <w:rPr>
                <w:rFonts w:hint="eastAsia" w:ascii="宋体" w:hAnsi="宋体" w:eastAsia="宋体" w:cs="宋体"/>
                <w:bCs/>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652" w:type="dxa"/>
            <w:vAlign w:val="center"/>
          </w:tcPr>
          <w:p>
            <w:pPr>
              <w:snapToGrid w:val="0"/>
              <w:jc w:val="center"/>
              <w:rPr>
                <w:rFonts w:ascii="宋体" w:hAnsi="宋体" w:eastAsia="宋体"/>
                <w:bCs/>
                <w:kern w:val="0"/>
                <w:sz w:val="24"/>
                <w:szCs w:val="24"/>
              </w:rPr>
            </w:pPr>
            <w:r>
              <w:rPr>
                <w:rFonts w:hint="eastAsia" w:ascii="宋体" w:hAnsi="宋体" w:eastAsia="宋体" w:cs="宋体"/>
                <w:bCs/>
                <w:kern w:val="0"/>
                <w:sz w:val="24"/>
                <w:szCs w:val="24"/>
              </w:rPr>
              <w:t>二</w:t>
            </w:r>
          </w:p>
        </w:tc>
        <w:tc>
          <w:tcPr>
            <w:tcW w:w="702" w:type="dxa"/>
            <w:vAlign w:val="center"/>
          </w:tcPr>
          <w:p>
            <w:pPr>
              <w:pStyle w:val="19"/>
              <w:spacing w:line="240" w:lineRule="auto"/>
              <w:rPr>
                <w:rFonts w:ascii="宋体" w:hAnsi="宋体" w:cs="Calibri"/>
                <w:bCs/>
                <w:sz w:val="24"/>
                <w:szCs w:val="24"/>
              </w:rPr>
            </w:pPr>
            <w:r>
              <w:rPr>
                <w:rFonts w:hint="eastAsia" w:ascii="宋体" w:hAnsi="宋体" w:cs="Calibri"/>
                <w:bCs/>
                <w:sz w:val="24"/>
                <w:szCs w:val="24"/>
              </w:rPr>
              <w:t>17</w:t>
            </w:r>
          </w:p>
        </w:tc>
        <w:tc>
          <w:tcPr>
            <w:tcW w:w="703" w:type="dxa"/>
            <w:vAlign w:val="center"/>
          </w:tcPr>
          <w:p>
            <w:pPr>
              <w:pStyle w:val="19"/>
              <w:spacing w:line="240" w:lineRule="auto"/>
              <w:rPr>
                <w:rFonts w:ascii="宋体" w:hAnsi="宋体" w:cs="Calibri"/>
                <w:bCs/>
                <w:sz w:val="24"/>
                <w:szCs w:val="24"/>
              </w:rPr>
            </w:pPr>
          </w:p>
        </w:tc>
        <w:tc>
          <w:tcPr>
            <w:tcW w:w="703" w:type="dxa"/>
            <w:vAlign w:val="center"/>
          </w:tcPr>
          <w:p>
            <w:pPr>
              <w:pStyle w:val="19"/>
              <w:adjustRightInd/>
              <w:spacing w:line="240" w:lineRule="auto"/>
              <w:ind w:left="-40" w:leftChars="-57" w:right="-138" w:rightChars="-43" w:hanging="142" w:hangingChars="66"/>
              <w:rPr>
                <w:rFonts w:ascii="宋体" w:hAnsi="宋体" w:cs="Calibri"/>
                <w:bCs/>
                <w:spacing w:val="-12"/>
                <w:kern w:val="0"/>
                <w:sz w:val="24"/>
                <w:szCs w:val="24"/>
              </w:rPr>
            </w:pPr>
            <w:r>
              <w:rPr>
                <w:rFonts w:hint="eastAsia" w:ascii="宋体" w:hAnsi="宋体" w:cs="Calibri"/>
                <w:bCs/>
                <w:spacing w:val="-12"/>
                <w:kern w:val="0"/>
                <w:sz w:val="24"/>
                <w:szCs w:val="24"/>
              </w:rPr>
              <w:t>1</w:t>
            </w:r>
          </w:p>
        </w:tc>
        <w:tc>
          <w:tcPr>
            <w:tcW w:w="703" w:type="dxa"/>
            <w:vAlign w:val="center"/>
          </w:tcPr>
          <w:p>
            <w:pPr>
              <w:snapToGrid w:val="0"/>
              <w:jc w:val="center"/>
              <w:rPr>
                <w:rFonts w:ascii="宋体" w:hAnsi="宋体" w:eastAsia="宋体"/>
                <w:bCs/>
                <w:i/>
                <w:iCs/>
                <w:kern w:val="0"/>
                <w:sz w:val="24"/>
                <w:szCs w:val="24"/>
              </w:rPr>
            </w:pPr>
          </w:p>
        </w:tc>
        <w:tc>
          <w:tcPr>
            <w:tcW w:w="703" w:type="dxa"/>
            <w:vAlign w:val="center"/>
          </w:tcPr>
          <w:p>
            <w:pPr>
              <w:snapToGrid w:val="0"/>
              <w:jc w:val="center"/>
              <w:rPr>
                <w:rFonts w:ascii="宋体" w:hAnsi="宋体" w:eastAsia="宋体"/>
                <w:bCs/>
                <w:kern w:val="0"/>
                <w:sz w:val="24"/>
                <w:szCs w:val="24"/>
              </w:rPr>
            </w:pPr>
          </w:p>
        </w:tc>
        <w:tc>
          <w:tcPr>
            <w:tcW w:w="703" w:type="dxa"/>
            <w:vAlign w:val="center"/>
          </w:tcPr>
          <w:p>
            <w:pPr>
              <w:snapToGrid w:val="0"/>
              <w:jc w:val="center"/>
              <w:rPr>
                <w:rFonts w:ascii="宋体" w:hAnsi="宋体" w:eastAsia="宋体"/>
                <w:bCs/>
                <w:kern w:val="0"/>
                <w:sz w:val="24"/>
                <w:szCs w:val="24"/>
              </w:rPr>
            </w:pPr>
            <w:r>
              <w:rPr>
                <w:rFonts w:ascii="宋体" w:hAnsi="宋体" w:eastAsia="宋体"/>
                <w:bCs/>
                <w:kern w:val="0"/>
                <w:sz w:val="24"/>
                <w:szCs w:val="24"/>
              </w:rPr>
              <w:t>1</w:t>
            </w:r>
          </w:p>
        </w:tc>
        <w:tc>
          <w:tcPr>
            <w:tcW w:w="703" w:type="dxa"/>
            <w:vAlign w:val="center"/>
          </w:tcPr>
          <w:p>
            <w:pPr>
              <w:snapToGrid w:val="0"/>
              <w:jc w:val="center"/>
              <w:rPr>
                <w:rFonts w:ascii="宋体" w:hAnsi="宋体" w:eastAsia="宋体"/>
                <w:bCs/>
                <w:kern w:val="0"/>
                <w:sz w:val="24"/>
                <w:szCs w:val="24"/>
              </w:rPr>
            </w:pPr>
            <w:r>
              <w:rPr>
                <w:rFonts w:ascii="宋体" w:hAnsi="宋体" w:eastAsia="宋体"/>
                <w:bCs/>
                <w:kern w:val="0"/>
                <w:sz w:val="24"/>
                <w:szCs w:val="24"/>
              </w:rPr>
              <w:t>1</w:t>
            </w:r>
          </w:p>
        </w:tc>
        <w:tc>
          <w:tcPr>
            <w:tcW w:w="703" w:type="dxa"/>
            <w:vAlign w:val="center"/>
          </w:tcPr>
          <w:p>
            <w:pPr>
              <w:snapToGrid w:val="0"/>
              <w:jc w:val="center"/>
              <w:rPr>
                <w:rFonts w:ascii="宋体" w:hAnsi="宋体" w:eastAsia="宋体"/>
                <w:bCs/>
                <w:kern w:val="0"/>
                <w:sz w:val="24"/>
                <w:szCs w:val="24"/>
              </w:rPr>
            </w:pPr>
            <w:r>
              <w:rPr>
                <w:rFonts w:ascii="宋体" w:hAnsi="宋体" w:eastAsia="宋体"/>
                <w:bCs/>
                <w:kern w:val="0"/>
                <w:sz w:val="24"/>
                <w:szCs w:val="24"/>
              </w:rPr>
              <w:t>8</w:t>
            </w:r>
          </w:p>
        </w:tc>
        <w:tc>
          <w:tcPr>
            <w:tcW w:w="703" w:type="dxa"/>
            <w:vAlign w:val="center"/>
          </w:tcPr>
          <w:p>
            <w:pPr>
              <w:snapToGrid w:val="0"/>
              <w:ind w:left="-157" w:leftChars="-49" w:right="-163" w:rightChars="-51"/>
              <w:jc w:val="center"/>
              <w:rPr>
                <w:rFonts w:ascii="宋体" w:hAnsi="宋体" w:eastAsia="宋体"/>
                <w:bCs/>
                <w:kern w:val="0"/>
                <w:sz w:val="24"/>
                <w:szCs w:val="24"/>
              </w:rPr>
            </w:pPr>
            <w:r>
              <w:rPr>
                <w:rFonts w:ascii="宋体" w:hAnsi="宋体" w:eastAsia="宋体"/>
                <w:bCs/>
                <w:kern w:val="0"/>
                <w:sz w:val="24"/>
                <w:szCs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652" w:type="dxa"/>
            <w:vAlign w:val="center"/>
          </w:tcPr>
          <w:p>
            <w:pPr>
              <w:snapToGrid w:val="0"/>
              <w:jc w:val="center"/>
              <w:rPr>
                <w:rFonts w:ascii="宋体" w:hAnsi="宋体" w:eastAsia="宋体"/>
                <w:bCs/>
                <w:kern w:val="0"/>
                <w:sz w:val="24"/>
                <w:szCs w:val="24"/>
              </w:rPr>
            </w:pPr>
            <w:r>
              <w:rPr>
                <w:rFonts w:hint="eastAsia" w:ascii="宋体" w:hAnsi="宋体" w:eastAsia="宋体" w:cs="宋体"/>
                <w:bCs/>
                <w:kern w:val="0"/>
                <w:sz w:val="24"/>
                <w:szCs w:val="24"/>
              </w:rPr>
              <w:t>三</w:t>
            </w:r>
          </w:p>
        </w:tc>
        <w:tc>
          <w:tcPr>
            <w:tcW w:w="702" w:type="dxa"/>
            <w:vAlign w:val="center"/>
          </w:tcPr>
          <w:p>
            <w:pPr>
              <w:pStyle w:val="19"/>
              <w:spacing w:line="240" w:lineRule="auto"/>
              <w:rPr>
                <w:rFonts w:ascii="宋体" w:hAnsi="宋体" w:cs="Calibri"/>
                <w:bCs/>
                <w:sz w:val="24"/>
                <w:szCs w:val="24"/>
              </w:rPr>
            </w:pPr>
            <w:r>
              <w:rPr>
                <w:rFonts w:hint="eastAsia" w:ascii="宋体" w:hAnsi="宋体" w:cs="Calibri"/>
                <w:bCs/>
                <w:sz w:val="24"/>
                <w:szCs w:val="24"/>
              </w:rPr>
              <w:t>17</w:t>
            </w:r>
          </w:p>
        </w:tc>
        <w:tc>
          <w:tcPr>
            <w:tcW w:w="703" w:type="dxa"/>
            <w:vAlign w:val="center"/>
          </w:tcPr>
          <w:p>
            <w:pPr>
              <w:pStyle w:val="19"/>
              <w:spacing w:line="240" w:lineRule="auto"/>
              <w:rPr>
                <w:rFonts w:ascii="宋体" w:hAnsi="宋体" w:cs="Calibri"/>
                <w:bCs/>
                <w:sz w:val="24"/>
                <w:szCs w:val="24"/>
              </w:rPr>
            </w:pPr>
          </w:p>
        </w:tc>
        <w:tc>
          <w:tcPr>
            <w:tcW w:w="703" w:type="dxa"/>
            <w:vAlign w:val="center"/>
          </w:tcPr>
          <w:p>
            <w:pPr>
              <w:snapToGrid w:val="0"/>
              <w:ind w:left="-187" w:leftChars="-63" w:right="-160" w:rightChars="-50" w:hanging="15" w:hangingChars="7"/>
              <w:jc w:val="center"/>
              <w:rPr>
                <w:rFonts w:ascii="宋体" w:hAnsi="宋体" w:eastAsia="宋体"/>
                <w:bCs/>
                <w:iCs/>
                <w:spacing w:val="-12"/>
                <w:kern w:val="0"/>
                <w:sz w:val="24"/>
                <w:szCs w:val="24"/>
              </w:rPr>
            </w:pPr>
            <w:r>
              <w:rPr>
                <w:rFonts w:hint="eastAsia" w:ascii="宋体" w:hAnsi="宋体" w:eastAsia="宋体"/>
                <w:bCs/>
                <w:iCs/>
                <w:spacing w:val="-12"/>
                <w:kern w:val="0"/>
                <w:sz w:val="24"/>
                <w:szCs w:val="24"/>
              </w:rPr>
              <w:t>1</w:t>
            </w:r>
          </w:p>
        </w:tc>
        <w:tc>
          <w:tcPr>
            <w:tcW w:w="703" w:type="dxa"/>
            <w:vAlign w:val="center"/>
          </w:tcPr>
          <w:p>
            <w:pPr>
              <w:snapToGrid w:val="0"/>
              <w:jc w:val="center"/>
              <w:rPr>
                <w:rFonts w:ascii="宋体" w:hAnsi="宋体" w:eastAsia="宋体"/>
                <w:bCs/>
                <w:i/>
                <w:iCs/>
                <w:kern w:val="0"/>
                <w:sz w:val="24"/>
                <w:szCs w:val="24"/>
              </w:rPr>
            </w:pPr>
          </w:p>
        </w:tc>
        <w:tc>
          <w:tcPr>
            <w:tcW w:w="703" w:type="dxa"/>
            <w:vAlign w:val="center"/>
          </w:tcPr>
          <w:p>
            <w:pPr>
              <w:snapToGrid w:val="0"/>
              <w:jc w:val="center"/>
              <w:rPr>
                <w:rFonts w:ascii="宋体" w:hAnsi="宋体" w:eastAsia="宋体"/>
                <w:bCs/>
                <w:kern w:val="0"/>
                <w:sz w:val="24"/>
                <w:szCs w:val="24"/>
              </w:rPr>
            </w:pPr>
          </w:p>
        </w:tc>
        <w:tc>
          <w:tcPr>
            <w:tcW w:w="703" w:type="dxa"/>
            <w:vAlign w:val="center"/>
          </w:tcPr>
          <w:p>
            <w:pPr>
              <w:snapToGrid w:val="0"/>
              <w:jc w:val="center"/>
              <w:rPr>
                <w:rFonts w:ascii="宋体" w:hAnsi="宋体" w:eastAsia="宋体"/>
                <w:bCs/>
                <w:kern w:val="0"/>
                <w:sz w:val="24"/>
                <w:szCs w:val="24"/>
              </w:rPr>
            </w:pPr>
            <w:r>
              <w:rPr>
                <w:rFonts w:ascii="宋体" w:hAnsi="宋体" w:eastAsia="宋体"/>
                <w:bCs/>
                <w:kern w:val="0"/>
                <w:sz w:val="24"/>
                <w:szCs w:val="24"/>
              </w:rPr>
              <w:t>1</w:t>
            </w:r>
          </w:p>
        </w:tc>
        <w:tc>
          <w:tcPr>
            <w:tcW w:w="703" w:type="dxa"/>
            <w:vAlign w:val="center"/>
          </w:tcPr>
          <w:p>
            <w:pPr>
              <w:snapToGrid w:val="0"/>
              <w:jc w:val="center"/>
              <w:rPr>
                <w:rFonts w:ascii="宋体" w:hAnsi="宋体" w:eastAsia="宋体"/>
                <w:bCs/>
                <w:kern w:val="0"/>
                <w:sz w:val="24"/>
                <w:szCs w:val="24"/>
              </w:rPr>
            </w:pPr>
            <w:r>
              <w:rPr>
                <w:rFonts w:ascii="宋体" w:hAnsi="宋体" w:eastAsia="宋体"/>
                <w:bCs/>
                <w:kern w:val="0"/>
                <w:sz w:val="24"/>
                <w:szCs w:val="24"/>
              </w:rPr>
              <w:t>1</w:t>
            </w:r>
          </w:p>
        </w:tc>
        <w:tc>
          <w:tcPr>
            <w:tcW w:w="703" w:type="dxa"/>
            <w:tcBorders>
              <w:bottom w:val="nil"/>
            </w:tcBorders>
            <w:vAlign w:val="center"/>
          </w:tcPr>
          <w:p>
            <w:pPr>
              <w:snapToGrid w:val="0"/>
              <w:jc w:val="center"/>
              <w:rPr>
                <w:rFonts w:ascii="宋体" w:hAnsi="宋体" w:eastAsia="宋体"/>
                <w:bCs/>
                <w:kern w:val="0"/>
                <w:sz w:val="24"/>
                <w:szCs w:val="24"/>
              </w:rPr>
            </w:pPr>
            <w:r>
              <w:rPr>
                <w:rFonts w:ascii="宋体" w:hAnsi="宋体" w:eastAsia="宋体"/>
                <w:bCs/>
                <w:kern w:val="0"/>
                <w:sz w:val="24"/>
                <w:szCs w:val="24"/>
              </w:rPr>
              <w:t>4</w:t>
            </w:r>
          </w:p>
        </w:tc>
        <w:tc>
          <w:tcPr>
            <w:tcW w:w="703" w:type="dxa"/>
            <w:vAlign w:val="center"/>
          </w:tcPr>
          <w:p>
            <w:pPr>
              <w:snapToGrid w:val="0"/>
              <w:ind w:left="-157" w:leftChars="-49" w:right="-163" w:rightChars="-51"/>
              <w:jc w:val="center"/>
              <w:rPr>
                <w:rFonts w:ascii="宋体" w:hAnsi="宋体" w:eastAsia="宋体"/>
                <w:bCs/>
                <w:kern w:val="0"/>
                <w:sz w:val="24"/>
                <w:szCs w:val="24"/>
              </w:rPr>
            </w:pPr>
            <w:r>
              <w:rPr>
                <w:rFonts w:ascii="宋体" w:hAnsi="宋体" w:eastAsia="宋体"/>
                <w:bCs/>
                <w:kern w:val="0"/>
                <w:sz w:val="24"/>
                <w:szCs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652" w:type="dxa"/>
            <w:vAlign w:val="center"/>
          </w:tcPr>
          <w:p>
            <w:pPr>
              <w:snapToGrid w:val="0"/>
              <w:jc w:val="center"/>
              <w:rPr>
                <w:rFonts w:ascii="宋体" w:hAnsi="宋体" w:eastAsia="宋体"/>
                <w:bCs/>
                <w:kern w:val="0"/>
                <w:sz w:val="24"/>
                <w:szCs w:val="24"/>
              </w:rPr>
            </w:pPr>
            <w:r>
              <w:rPr>
                <w:rFonts w:hint="eastAsia" w:ascii="宋体" w:hAnsi="宋体" w:eastAsia="宋体" w:cs="宋体"/>
                <w:bCs/>
                <w:kern w:val="0"/>
                <w:sz w:val="24"/>
                <w:szCs w:val="24"/>
              </w:rPr>
              <w:t>四</w:t>
            </w:r>
          </w:p>
        </w:tc>
        <w:tc>
          <w:tcPr>
            <w:tcW w:w="702" w:type="dxa"/>
            <w:vAlign w:val="center"/>
          </w:tcPr>
          <w:p>
            <w:pPr>
              <w:pStyle w:val="19"/>
              <w:spacing w:line="240" w:lineRule="auto"/>
              <w:rPr>
                <w:rFonts w:hint="eastAsia" w:ascii="宋体" w:hAnsi="宋体" w:eastAsia="宋体" w:cs="Calibri"/>
                <w:bCs/>
                <w:sz w:val="24"/>
                <w:szCs w:val="24"/>
                <w:lang w:val="en-US" w:eastAsia="zh-CN"/>
              </w:rPr>
            </w:pPr>
            <w:r>
              <w:rPr>
                <w:rFonts w:hint="eastAsia" w:ascii="宋体" w:hAnsi="宋体" w:cs="Calibri"/>
                <w:bCs/>
                <w:sz w:val="24"/>
                <w:szCs w:val="24"/>
              </w:rPr>
              <w:t>1</w:t>
            </w:r>
            <w:r>
              <w:rPr>
                <w:rFonts w:hint="eastAsia" w:ascii="宋体" w:hAnsi="宋体" w:cs="Calibri"/>
                <w:bCs/>
                <w:sz w:val="24"/>
                <w:szCs w:val="24"/>
                <w:lang w:val="en-US" w:eastAsia="zh-CN"/>
              </w:rPr>
              <w:t>8</w:t>
            </w:r>
          </w:p>
        </w:tc>
        <w:tc>
          <w:tcPr>
            <w:tcW w:w="703" w:type="dxa"/>
            <w:vAlign w:val="center"/>
          </w:tcPr>
          <w:p>
            <w:pPr>
              <w:pStyle w:val="19"/>
              <w:spacing w:line="240" w:lineRule="auto"/>
              <w:rPr>
                <w:rFonts w:ascii="宋体" w:hAnsi="宋体" w:cs="Calibri"/>
                <w:bCs/>
                <w:sz w:val="24"/>
                <w:szCs w:val="24"/>
              </w:rPr>
            </w:pPr>
          </w:p>
        </w:tc>
        <w:tc>
          <w:tcPr>
            <w:tcW w:w="703" w:type="dxa"/>
            <w:vAlign w:val="center"/>
          </w:tcPr>
          <w:p>
            <w:pPr>
              <w:snapToGrid w:val="0"/>
              <w:ind w:left="-182" w:leftChars="-57" w:right="-160" w:rightChars="-50"/>
              <w:jc w:val="center"/>
              <w:rPr>
                <w:rFonts w:ascii="宋体" w:hAnsi="宋体" w:eastAsia="宋体"/>
                <w:bCs/>
                <w:iCs/>
                <w:spacing w:val="-12"/>
                <w:kern w:val="0"/>
                <w:sz w:val="24"/>
                <w:szCs w:val="24"/>
              </w:rPr>
            </w:pPr>
          </w:p>
        </w:tc>
        <w:tc>
          <w:tcPr>
            <w:tcW w:w="703" w:type="dxa"/>
            <w:vAlign w:val="center"/>
          </w:tcPr>
          <w:p>
            <w:pPr>
              <w:snapToGrid w:val="0"/>
              <w:jc w:val="center"/>
              <w:rPr>
                <w:rFonts w:ascii="宋体" w:hAnsi="宋体" w:eastAsia="宋体"/>
                <w:bCs/>
                <w:i/>
                <w:iCs/>
                <w:kern w:val="0"/>
                <w:sz w:val="24"/>
                <w:szCs w:val="24"/>
              </w:rPr>
            </w:pPr>
          </w:p>
        </w:tc>
        <w:tc>
          <w:tcPr>
            <w:tcW w:w="703" w:type="dxa"/>
            <w:vAlign w:val="center"/>
          </w:tcPr>
          <w:p>
            <w:pPr>
              <w:snapToGrid w:val="0"/>
              <w:jc w:val="center"/>
              <w:rPr>
                <w:rFonts w:ascii="宋体" w:hAnsi="宋体" w:eastAsia="宋体"/>
                <w:bCs/>
                <w:kern w:val="0"/>
                <w:sz w:val="24"/>
                <w:szCs w:val="24"/>
              </w:rPr>
            </w:pPr>
          </w:p>
        </w:tc>
        <w:tc>
          <w:tcPr>
            <w:tcW w:w="703" w:type="dxa"/>
            <w:vAlign w:val="center"/>
          </w:tcPr>
          <w:p>
            <w:pPr>
              <w:snapToGrid w:val="0"/>
              <w:jc w:val="center"/>
              <w:rPr>
                <w:rFonts w:ascii="宋体" w:hAnsi="宋体" w:eastAsia="宋体"/>
                <w:bCs/>
                <w:kern w:val="0"/>
                <w:sz w:val="24"/>
                <w:szCs w:val="24"/>
              </w:rPr>
            </w:pPr>
            <w:r>
              <w:rPr>
                <w:rFonts w:ascii="宋体" w:hAnsi="宋体" w:eastAsia="宋体"/>
                <w:bCs/>
                <w:kern w:val="0"/>
                <w:sz w:val="24"/>
                <w:szCs w:val="24"/>
              </w:rPr>
              <w:t>1</w:t>
            </w:r>
          </w:p>
        </w:tc>
        <w:tc>
          <w:tcPr>
            <w:tcW w:w="703" w:type="dxa"/>
            <w:vAlign w:val="center"/>
          </w:tcPr>
          <w:p>
            <w:pPr>
              <w:snapToGrid w:val="0"/>
              <w:jc w:val="center"/>
              <w:rPr>
                <w:rFonts w:ascii="宋体" w:hAnsi="宋体" w:eastAsia="宋体"/>
                <w:bCs/>
                <w:kern w:val="0"/>
                <w:sz w:val="24"/>
                <w:szCs w:val="24"/>
              </w:rPr>
            </w:pPr>
            <w:r>
              <w:rPr>
                <w:rFonts w:ascii="宋体" w:hAnsi="宋体" w:eastAsia="宋体"/>
                <w:bCs/>
                <w:kern w:val="0"/>
                <w:sz w:val="24"/>
                <w:szCs w:val="24"/>
              </w:rPr>
              <w:t>1</w:t>
            </w:r>
          </w:p>
        </w:tc>
        <w:tc>
          <w:tcPr>
            <w:tcW w:w="703" w:type="dxa"/>
            <w:vAlign w:val="center"/>
          </w:tcPr>
          <w:p>
            <w:pPr>
              <w:snapToGrid w:val="0"/>
              <w:jc w:val="center"/>
              <w:rPr>
                <w:rFonts w:ascii="宋体" w:hAnsi="宋体" w:eastAsia="宋体"/>
                <w:bCs/>
                <w:kern w:val="0"/>
                <w:sz w:val="24"/>
                <w:szCs w:val="24"/>
              </w:rPr>
            </w:pPr>
            <w:r>
              <w:rPr>
                <w:rFonts w:ascii="宋体" w:hAnsi="宋体" w:eastAsia="宋体"/>
                <w:bCs/>
                <w:kern w:val="0"/>
                <w:sz w:val="24"/>
                <w:szCs w:val="24"/>
              </w:rPr>
              <w:t>8</w:t>
            </w:r>
          </w:p>
        </w:tc>
        <w:tc>
          <w:tcPr>
            <w:tcW w:w="703" w:type="dxa"/>
            <w:vAlign w:val="center"/>
          </w:tcPr>
          <w:p>
            <w:pPr>
              <w:snapToGrid w:val="0"/>
              <w:ind w:left="-112" w:leftChars="-35" w:right="-112" w:rightChars="-35"/>
              <w:jc w:val="center"/>
              <w:rPr>
                <w:rFonts w:hint="eastAsia" w:ascii="宋体" w:hAnsi="宋体" w:eastAsia="宋体"/>
                <w:bCs/>
                <w:kern w:val="0"/>
                <w:sz w:val="24"/>
                <w:szCs w:val="24"/>
                <w:lang w:eastAsia="zh-CN"/>
              </w:rPr>
            </w:pPr>
            <w:r>
              <w:rPr>
                <w:rFonts w:ascii="宋体" w:hAnsi="宋体" w:eastAsia="宋体"/>
                <w:bCs/>
                <w:kern w:val="0"/>
                <w:sz w:val="24"/>
                <w:szCs w:val="24"/>
              </w:rPr>
              <w:t>2</w:t>
            </w:r>
            <w:r>
              <w:rPr>
                <w:rFonts w:hint="eastAsia" w:ascii="宋体" w:hAnsi="宋体" w:eastAsia="宋体"/>
                <w:bCs/>
                <w:kern w:val="0"/>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 w:hRule="atLeast"/>
          <w:jc w:val="center"/>
        </w:trPr>
        <w:tc>
          <w:tcPr>
            <w:tcW w:w="652" w:type="dxa"/>
            <w:vAlign w:val="center"/>
          </w:tcPr>
          <w:p>
            <w:pPr>
              <w:snapToGrid w:val="0"/>
              <w:jc w:val="center"/>
              <w:rPr>
                <w:rFonts w:ascii="宋体" w:hAnsi="宋体" w:eastAsia="宋体"/>
                <w:bCs/>
                <w:kern w:val="0"/>
                <w:sz w:val="24"/>
                <w:szCs w:val="24"/>
              </w:rPr>
            </w:pPr>
            <w:r>
              <w:rPr>
                <w:rFonts w:hint="eastAsia" w:ascii="宋体" w:hAnsi="宋体" w:eastAsia="宋体" w:cs="宋体"/>
                <w:bCs/>
                <w:kern w:val="0"/>
                <w:sz w:val="24"/>
                <w:szCs w:val="24"/>
              </w:rPr>
              <w:t>五</w:t>
            </w:r>
          </w:p>
        </w:tc>
        <w:tc>
          <w:tcPr>
            <w:tcW w:w="702" w:type="dxa"/>
            <w:vAlign w:val="center"/>
          </w:tcPr>
          <w:p>
            <w:pPr>
              <w:pStyle w:val="19"/>
              <w:spacing w:line="240" w:lineRule="auto"/>
              <w:rPr>
                <w:rFonts w:ascii="宋体" w:hAnsi="宋体" w:cs="Calibri"/>
                <w:bCs/>
                <w:sz w:val="24"/>
                <w:szCs w:val="24"/>
              </w:rPr>
            </w:pPr>
            <w:r>
              <w:rPr>
                <w:rFonts w:hint="eastAsia" w:ascii="宋体" w:hAnsi="宋体" w:cs="Calibri"/>
                <w:bCs/>
                <w:sz w:val="24"/>
                <w:szCs w:val="24"/>
              </w:rPr>
              <w:t>17</w:t>
            </w:r>
          </w:p>
        </w:tc>
        <w:tc>
          <w:tcPr>
            <w:tcW w:w="703" w:type="dxa"/>
            <w:vAlign w:val="center"/>
          </w:tcPr>
          <w:p>
            <w:pPr>
              <w:pStyle w:val="19"/>
              <w:spacing w:line="240" w:lineRule="auto"/>
              <w:rPr>
                <w:rFonts w:ascii="宋体" w:hAnsi="宋体" w:cs="Calibri"/>
                <w:bCs/>
                <w:sz w:val="24"/>
                <w:szCs w:val="24"/>
              </w:rPr>
            </w:pPr>
          </w:p>
        </w:tc>
        <w:tc>
          <w:tcPr>
            <w:tcW w:w="703" w:type="dxa"/>
            <w:vAlign w:val="center"/>
          </w:tcPr>
          <w:p>
            <w:pPr>
              <w:snapToGrid w:val="0"/>
              <w:jc w:val="center"/>
              <w:rPr>
                <w:rFonts w:ascii="宋体" w:hAnsi="宋体" w:eastAsia="宋体"/>
                <w:bCs/>
                <w:iCs/>
                <w:spacing w:val="-12"/>
                <w:kern w:val="0"/>
                <w:sz w:val="24"/>
                <w:szCs w:val="24"/>
              </w:rPr>
            </w:pPr>
            <w:r>
              <w:rPr>
                <w:rFonts w:hint="eastAsia" w:ascii="宋体" w:hAnsi="宋体" w:eastAsia="宋体"/>
                <w:bCs/>
                <w:iCs/>
                <w:spacing w:val="-12"/>
                <w:kern w:val="0"/>
                <w:sz w:val="24"/>
                <w:szCs w:val="24"/>
              </w:rPr>
              <w:t>1</w:t>
            </w:r>
          </w:p>
        </w:tc>
        <w:tc>
          <w:tcPr>
            <w:tcW w:w="703" w:type="dxa"/>
            <w:vAlign w:val="center"/>
          </w:tcPr>
          <w:p>
            <w:pPr>
              <w:snapToGrid w:val="0"/>
              <w:jc w:val="center"/>
              <w:rPr>
                <w:rFonts w:ascii="宋体" w:hAnsi="宋体" w:eastAsia="宋体"/>
                <w:bCs/>
                <w:i/>
                <w:iCs/>
                <w:kern w:val="0"/>
                <w:sz w:val="24"/>
                <w:szCs w:val="24"/>
              </w:rPr>
            </w:pPr>
          </w:p>
        </w:tc>
        <w:tc>
          <w:tcPr>
            <w:tcW w:w="703" w:type="dxa"/>
            <w:vAlign w:val="center"/>
          </w:tcPr>
          <w:p>
            <w:pPr>
              <w:snapToGrid w:val="0"/>
              <w:jc w:val="center"/>
              <w:rPr>
                <w:rFonts w:ascii="宋体" w:hAnsi="宋体" w:eastAsia="宋体"/>
                <w:bCs/>
                <w:kern w:val="0"/>
                <w:sz w:val="24"/>
                <w:szCs w:val="24"/>
              </w:rPr>
            </w:pPr>
          </w:p>
        </w:tc>
        <w:tc>
          <w:tcPr>
            <w:tcW w:w="703" w:type="dxa"/>
            <w:vAlign w:val="center"/>
          </w:tcPr>
          <w:p>
            <w:pPr>
              <w:snapToGrid w:val="0"/>
              <w:jc w:val="center"/>
              <w:rPr>
                <w:rFonts w:ascii="宋体" w:hAnsi="宋体" w:eastAsia="宋体"/>
                <w:bCs/>
                <w:kern w:val="0"/>
                <w:sz w:val="24"/>
                <w:szCs w:val="24"/>
              </w:rPr>
            </w:pPr>
            <w:r>
              <w:rPr>
                <w:rFonts w:ascii="宋体" w:hAnsi="宋体" w:eastAsia="宋体"/>
                <w:bCs/>
                <w:kern w:val="0"/>
                <w:sz w:val="24"/>
                <w:szCs w:val="24"/>
              </w:rPr>
              <w:t>1</w:t>
            </w:r>
          </w:p>
        </w:tc>
        <w:tc>
          <w:tcPr>
            <w:tcW w:w="703" w:type="dxa"/>
            <w:vAlign w:val="center"/>
          </w:tcPr>
          <w:p>
            <w:pPr>
              <w:snapToGrid w:val="0"/>
              <w:jc w:val="center"/>
              <w:rPr>
                <w:rFonts w:ascii="宋体" w:hAnsi="宋体" w:eastAsia="宋体"/>
                <w:bCs/>
                <w:kern w:val="0"/>
                <w:sz w:val="24"/>
                <w:szCs w:val="24"/>
              </w:rPr>
            </w:pPr>
            <w:r>
              <w:rPr>
                <w:rFonts w:ascii="宋体" w:hAnsi="宋体" w:eastAsia="宋体"/>
                <w:bCs/>
                <w:kern w:val="0"/>
                <w:sz w:val="24"/>
                <w:szCs w:val="24"/>
              </w:rPr>
              <w:t>1</w:t>
            </w:r>
          </w:p>
        </w:tc>
        <w:tc>
          <w:tcPr>
            <w:tcW w:w="703" w:type="dxa"/>
            <w:vAlign w:val="center"/>
          </w:tcPr>
          <w:p>
            <w:pPr>
              <w:snapToGrid w:val="0"/>
              <w:jc w:val="center"/>
              <w:rPr>
                <w:rFonts w:ascii="宋体" w:hAnsi="宋体" w:eastAsia="宋体"/>
                <w:bCs/>
                <w:kern w:val="0"/>
                <w:sz w:val="24"/>
                <w:szCs w:val="24"/>
              </w:rPr>
            </w:pPr>
            <w:r>
              <w:rPr>
                <w:rFonts w:ascii="宋体" w:hAnsi="宋体" w:eastAsia="宋体"/>
                <w:bCs/>
                <w:kern w:val="0"/>
                <w:sz w:val="24"/>
                <w:szCs w:val="24"/>
              </w:rPr>
              <w:t>4</w:t>
            </w:r>
          </w:p>
        </w:tc>
        <w:tc>
          <w:tcPr>
            <w:tcW w:w="703" w:type="dxa"/>
            <w:vAlign w:val="center"/>
          </w:tcPr>
          <w:p>
            <w:pPr>
              <w:snapToGrid w:val="0"/>
              <w:ind w:left="-112" w:leftChars="-35" w:right="-112" w:rightChars="-35"/>
              <w:jc w:val="center"/>
              <w:rPr>
                <w:rFonts w:ascii="宋体" w:hAnsi="宋体" w:eastAsia="宋体"/>
                <w:bCs/>
                <w:kern w:val="0"/>
                <w:sz w:val="24"/>
                <w:szCs w:val="24"/>
              </w:rPr>
            </w:pPr>
            <w:r>
              <w:rPr>
                <w:rFonts w:ascii="宋体" w:hAnsi="宋体" w:eastAsia="宋体"/>
                <w:bCs/>
                <w:kern w:val="0"/>
                <w:sz w:val="24"/>
                <w:szCs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652" w:type="dxa"/>
            <w:vAlign w:val="center"/>
          </w:tcPr>
          <w:p>
            <w:pPr>
              <w:snapToGrid w:val="0"/>
              <w:jc w:val="center"/>
              <w:rPr>
                <w:rFonts w:ascii="宋体" w:hAnsi="宋体" w:eastAsia="宋体"/>
                <w:bCs/>
                <w:kern w:val="0"/>
                <w:sz w:val="24"/>
                <w:szCs w:val="24"/>
              </w:rPr>
            </w:pPr>
            <w:r>
              <w:rPr>
                <w:rFonts w:hint="eastAsia" w:ascii="宋体" w:hAnsi="宋体" w:eastAsia="宋体" w:cs="宋体"/>
                <w:bCs/>
                <w:kern w:val="0"/>
                <w:sz w:val="24"/>
                <w:szCs w:val="24"/>
              </w:rPr>
              <w:t>六</w:t>
            </w:r>
          </w:p>
        </w:tc>
        <w:tc>
          <w:tcPr>
            <w:tcW w:w="702" w:type="dxa"/>
            <w:vAlign w:val="center"/>
          </w:tcPr>
          <w:p>
            <w:pPr>
              <w:pStyle w:val="19"/>
              <w:spacing w:line="240" w:lineRule="auto"/>
              <w:rPr>
                <w:rFonts w:ascii="宋体" w:hAnsi="宋体" w:cs="Calibri"/>
                <w:bCs/>
                <w:sz w:val="24"/>
                <w:szCs w:val="24"/>
              </w:rPr>
            </w:pPr>
            <w:r>
              <w:rPr>
                <w:rFonts w:hint="eastAsia" w:ascii="宋体" w:hAnsi="宋体" w:cs="Calibri"/>
                <w:bCs/>
                <w:sz w:val="24"/>
                <w:szCs w:val="24"/>
              </w:rPr>
              <w:t>0</w:t>
            </w:r>
          </w:p>
        </w:tc>
        <w:tc>
          <w:tcPr>
            <w:tcW w:w="703" w:type="dxa"/>
            <w:vAlign w:val="center"/>
          </w:tcPr>
          <w:p>
            <w:pPr>
              <w:pStyle w:val="19"/>
              <w:spacing w:line="240" w:lineRule="auto"/>
              <w:rPr>
                <w:rFonts w:ascii="宋体" w:hAnsi="宋体" w:cs="Calibri"/>
                <w:bCs/>
                <w:sz w:val="24"/>
                <w:szCs w:val="24"/>
              </w:rPr>
            </w:pPr>
          </w:p>
        </w:tc>
        <w:tc>
          <w:tcPr>
            <w:tcW w:w="703" w:type="dxa"/>
            <w:vAlign w:val="center"/>
          </w:tcPr>
          <w:p>
            <w:pPr>
              <w:snapToGrid w:val="0"/>
              <w:jc w:val="center"/>
              <w:rPr>
                <w:rFonts w:ascii="宋体" w:hAnsi="宋体" w:eastAsia="宋体"/>
                <w:bCs/>
                <w:spacing w:val="-12"/>
                <w:kern w:val="0"/>
                <w:sz w:val="24"/>
                <w:szCs w:val="24"/>
              </w:rPr>
            </w:pPr>
          </w:p>
        </w:tc>
        <w:tc>
          <w:tcPr>
            <w:tcW w:w="703" w:type="dxa"/>
            <w:vAlign w:val="center"/>
          </w:tcPr>
          <w:p>
            <w:pPr>
              <w:snapToGrid w:val="0"/>
              <w:jc w:val="center"/>
              <w:rPr>
                <w:rFonts w:ascii="宋体" w:hAnsi="宋体" w:eastAsia="宋体"/>
                <w:bCs/>
                <w:kern w:val="0"/>
                <w:sz w:val="24"/>
                <w:szCs w:val="24"/>
              </w:rPr>
            </w:pPr>
            <w:r>
              <w:rPr>
                <w:rFonts w:ascii="宋体" w:hAnsi="宋体" w:eastAsia="宋体"/>
                <w:bCs/>
                <w:kern w:val="0"/>
                <w:sz w:val="24"/>
                <w:szCs w:val="24"/>
              </w:rPr>
              <w:t>1</w:t>
            </w:r>
            <w:r>
              <w:rPr>
                <w:rFonts w:hint="eastAsia" w:ascii="宋体" w:hAnsi="宋体" w:eastAsia="宋体"/>
                <w:bCs/>
                <w:kern w:val="0"/>
                <w:sz w:val="24"/>
                <w:szCs w:val="24"/>
              </w:rPr>
              <w:t>8</w:t>
            </w:r>
          </w:p>
        </w:tc>
        <w:tc>
          <w:tcPr>
            <w:tcW w:w="703" w:type="dxa"/>
            <w:vAlign w:val="center"/>
          </w:tcPr>
          <w:p>
            <w:pPr>
              <w:snapToGrid w:val="0"/>
              <w:jc w:val="center"/>
              <w:rPr>
                <w:rFonts w:ascii="宋体" w:hAnsi="宋体" w:eastAsia="宋体"/>
                <w:bCs/>
                <w:kern w:val="0"/>
                <w:sz w:val="24"/>
                <w:szCs w:val="24"/>
              </w:rPr>
            </w:pPr>
            <w:r>
              <w:rPr>
                <w:rFonts w:hint="eastAsia" w:ascii="宋体" w:hAnsi="宋体" w:eastAsia="宋体"/>
                <w:bCs/>
                <w:kern w:val="0"/>
                <w:sz w:val="24"/>
                <w:szCs w:val="24"/>
              </w:rPr>
              <w:t>1</w:t>
            </w:r>
          </w:p>
        </w:tc>
        <w:tc>
          <w:tcPr>
            <w:tcW w:w="703" w:type="dxa"/>
            <w:vAlign w:val="center"/>
          </w:tcPr>
          <w:p>
            <w:pPr>
              <w:snapToGrid w:val="0"/>
              <w:jc w:val="center"/>
              <w:rPr>
                <w:rFonts w:ascii="宋体" w:hAnsi="宋体" w:eastAsia="宋体"/>
                <w:bCs/>
                <w:kern w:val="0"/>
                <w:sz w:val="24"/>
                <w:szCs w:val="24"/>
              </w:rPr>
            </w:pPr>
          </w:p>
        </w:tc>
        <w:tc>
          <w:tcPr>
            <w:tcW w:w="703" w:type="dxa"/>
            <w:vAlign w:val="center"/>
          </w:tcPr>
          <w:p>
            <w:pPr>
              <w:snapToGrid w:val="0"/>
              <w:jc w:val="center"/>
              <w:rPr>
                <w:rFonts w:ascii="宋体" w:hAnsi="宋体" w:eastAsia="宋体"/>
                <w:bCs/>
                <w:kern w:val="0"/>
                <w:sz w:val="24"/>
                <w:szCs w:val="24"/>
              </w:rPr>
            </w:pPr>
            <w:r>
              <w:rPr>
                <w:rFonts w:ascii="宋体" w:hAnsi="宋体" w:eastAsia="宋体"/>
                <w:bCs/>
                <w:kern w:val="0"/>
                <w:sz w:val="24"/>
                <w:szCs w:val="24"/>
              </w:rPr>
              <w:t>1</w:t>
            </w:r>
          </w:p>
        </w:tc>
        <w:tc>
          <w:tcPr>
            <w:tcW w:w="703" w:type="dxa"/>
            <w:vAlign w:val="center"/>
          </w:tcPr>
          <w:p>
            <w:pPr>
              <w:snapToGrid w:val="0"/>
              <w:jc w:val="center"/>
              <w:rPr>
                <w:rFonts w:ascii="宋体" w:hAnsi="宋体" w:eastAsia="宋体"/>
                <w:bCs/>
                <w:kern w:val="0"/>
                <w:sz w:val="24"/>
                <w:szCs w:val="24"/>
              </w:rPr>
            </w:pPr>
            <w:r>
              <w:rPr>
                <w:rFonts w:ascii="宋体" w:hAnsi="宋体" w:eastAsia="宋体"/>
                <w:bCs/>
                <w:kern w:val="0"/>
                <w:sz w:val="24"/>
                <w:szCs w:val="24"/>
              </w:rPr>
              <w:t>8</w:t>
            </w:r>
          </w:p>
        </w:tc>
        <w:tc>
          <w:tcPr>
            <w:tcW w:w="703" w:type="dxa"/>
            <w:vAlign w:val="center"/>
          </w:tcPr>
          <w:p>
            <w:pPr>
              <w:snapToGrid w:val="0"/>
              <w:ind w:left="-112" w:leftChars="-35" w:right="-112" w:rightChars="-35"/>
              <w:jc w:val="center"/>
              <w:rPr>
                <w:rFonts w:ascii="宋体" w:hAnsi="宋体" w:eastAsia="宋体"/>
                <w:bCs/>
                <w:kern w:val="0"/>
                <w:sz w:val="24"/>
                <w:szCs w:val="24"/>
              </w:rPr>
            </w:pPr>
            <w:r>
              <w:rPr>
                <w:rFonts w:ascii="宋体" w:hAnsi="宋体" w:eastAsia="宋体"/>
                <w:bCs/>
                <w:kern w:val="0"/>
                <w:sz w:val="24"/>
                <w:szCs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652" w:type="dxa"/>
            <w:vAlign w:val="center"/>
          </w:tcPr>
          <w:p>
            <w:pPr>
              <w:snapToGrid w:val="0"/>
              <w:jc w:val="center"/>
              <w:rPr>
                <w:rFonts w:ascii="宋体" w:hAnsi="宋体" w:eastAsia="宋体"/>
                <w:bCs/>
                <w:kern w:val="0"/>
                <w:sz w:val="24"/>
                <w:szCs w:val="24"/>
              </w:rPr>
            </w:pPr>
            <w:r>
              <w:rPr>
                <w:rFonts w:hint="eastAsia" w:ascii="宋体" w:hAnsi="宋体" w:eastAsia="宋体" w:cs="宋体"/>
                <w:bCs/>
                <w:kern w:val="0"/>
                <w:sz w:val="24"/>
                <w:szCs w:val="24"/>
              </w:rPr>
              <w:t>合计</w:t>
            </w:r>
          </w:p>
        </w:tc>
        <w:tc>
          <w:tcPr>
            <w:tcW w:w="702" w:type="dxa"/>
            <w:vAlign w:val="center"/>
          </w:tcPr>
          <w:p>
            <w:pPr>
              <w:pStyle w:val="19"/>
              <w:spacing w:line="240" w:lineRule="auto"/>
              <w:rPr>
                <w:rFonts w:hint="eastAsia" w:ascii="宋体" w:hAnsi="宋体" w:eastAsia="宋体" w:cs="Calibri"/>
                <w:bCs/>
                <w:sz w:val="24"/>
                <w:szCs w:val="24"/>
                <w:lang w:eastAsia="zh-CN"/>
              </w:rPr>
            </w:pPr>
            <w:r>
              <w:rPr>
                <w:rFonts w:hint="eastAsia" w:ascii="宋体" w:hAnsi="宋体" w:cs="Calibri"/>
                <w:bCs/>
                <w:sz w:val="24"/>
                <w:szCs w:val="24"/>
              </w:rPr>
              <w:t>8</w:t>
            </w:r>
            <w:r>
              <w:rPr>
                <w:rFonts w:hint="eastAsia" w:ascii="宋体" w:hAnsi="宋体" w:cs="Calibri"/>
                <w:bCs/>
                <w:sz w:val="24"/>
                <w:szCs w:val="24"/>
                <w:lang w:val="en-US" w:eastAsia="zh-CN"/>
              </w:rPr>
              <w:t>6</w:t>
            </w:r>
          </w:p>
        </w:tc>
        <w:tc>
          <w:tcPr>
            <w:tcW w:w="703" w:type="dxa"/>
            <w:vAlign w:val="center"/>
          </w:tcPr>
          <w:p>
            <w:pPr>
              <w:pStyle w:val="19"/>
              <w:spacing w:line="240" w:lineRule="auto"/>
              <w:rPr>
                <w:rFonts w:ascii="宋体" w:hAnsi="宋体" w:cs="Calibri"/>
                <w:bCs/>
                <w:sz w:val="24"/>
                <w:szCs w:val="24"/>
              </w:rPr>
            </w:pPr>
            <w:r>
              <w:rPr>
                <w:rFonts w:hint="eastAsia" w:ascii="宋体" w:hAnsi="宋体" w:cs="Calibri"/>
                <w:bCs/>
                <w:sz w:val="24"/>
                <w:szCs w:val="24"/>
              </w:rPr>
              <w:t>1</w:t>
            </w:r>
          </w:p>
        </w:tc>
        <w:tc>
          <w:tcPr>
            <w:tcW w:w="703" w:type="dxa"/>
            <w:vAlign w:val="center"/>
          </w:tcPr>
          <w:p>
            <w:pPr>
              <w:snapToGrid w:val="0"/>
              <w:ind w:left="-186" w:leftChars="-60" w:right="-160" w:rightChars="-50" w:hanging="6" w:hangingChars="3"/>
              <w:jc w:val="center"/>
              <w:rPr>
                <w:rFonts w:ascii="宋体" w:hAnsi="宋体" w:eastAsia="宋体"/>
                <w:bCs/>
                <w:spacing w:val="-12"/>
                <w:kern w:val="0"/>
                <w:sz w:val="24"/>
                <w:szCs w:val="24"/>
              </w:rPr>
            </w:pPr>
            <w:r>
              <w:rPr>
                <w:rFonts w:hint="eastAsia" w:ascii="宋体" w:hAnsi="宋体" w:eastAsia="宋体"/>
                <w:bCs/>
                <w:spacing w:val="-12"/>
                <w:kern w:val="0"/>
                <w:sz w:val="24"/>
                <w:szCs w:val="24"/>
              </w:rPr>
              <w:t>3</w:t>
            </w:r>
          </w:p>
        </w:tc>
        <w:tc>
          <w:tcPr>
            <w:tcW w:w="703" w:type="dxa"/>
            <w:vAlign w:val="center"/>
          </w:tcPr>
          <w:p>
            <w:pPr>
              <w:snapToGrid w:val="0"/>
              <w:jc w:val="center"/>
              <w:rPr>
                <w:rFonts w:ascii="宋体" w:hAnsi="宋体" w:eastAsia="宋体"/>
                <w:bCs/>
                <w:kern w:val="0"/>
                <w:sz w:val="24"/>
                <w:szCs w:val="24"/>
              </w:rPr>
            </w:pPr>
            <w:r>
              <w:rPr>
                <w:rFonts w:hint="eastAsia" w:ascii="宋体" w:hAnsi="宋体" w:eastAsia="宋体"/>
                <w:bCs/>
                <w:kern w:val="0"/>
                <w:sz w:val="24"/>
                <w:szCs w:val="24"/>
              </w:rPr>
              <w:t>18</w:t>
            </w:r>
          </w:p>
        </w:tc>
        <w:tc>
          <w:tcPr>
            <w:tcW w:w="703" w:type="dxa"/>
            <w:vAlign w:val="center"/>
          </w:tcPr>
          <w:p>
            <w:pPr>
              <w:snapToGrid w:val="0"/>
              <w:jc w:val="center"/>
              <w:rPr>
                <w:rFonts w:ascii="宋体" w:hAnsi="宋体" w:eastAsia="宋体"/>
                <w:bCs/>
                <w:kern w:val="0"/>
                <w:sz w:val="24"/>
                <w:szCs w:val="24"/>
              </w:rPr>
            </w:pPr>
            <w:r>
              <w:rPr>
                <w:rFonts w:hint="eastAsia" w:ascii="宋体" w:hAnsi="宋体" w:eastAsia="宋体"/>
                <w:bCs/>
                <w:kern w:val="0"/>
                <w:sz w:val="24"/>
                <w:szCs w:val="24"/>
              </w:rPr>
              <w:t>1</w:t>
            </w:r>
          </w:p>
        </w:tc>
        <w:tc>
          <w:tcPr>
            <w:tcW w:w="703" w:type="dxa"/>
            <w:vAlign w:val="center"/>
          </w:tcPr>
          <w:p>
            <w:pPr>
              <w:snapToGrid w:val="0"/>
              <w:jc w:val="center"/>
              <w:rPr>
                <w:rFonts w:ascii="宋体" w:hAnsi="宋体" w:eastAsia="宋体"/>
                <w:bCs/>
                <w:kern w:val="0"/>
                <w:sz w:val="24"/>
                <w:szCs w:val="24"/>
              </w:rPr>
            </w:pPr>
            <w:r>
              <w:rPr>
                <w:rFonts w:hint="eastAsia" w:ascii="宋体" w:hAnsi="宋体" w:eastAsia="宋体"/>
                <w:bCs/>
                <w:kern w:val="0"/>
                <w:sz w:val="24"/>
                <w:szCs w:val="24"/>
              </w:rPr>
              <w:t>5</w:t>
            </w:r>
          </w:p>
        </w:tc>
        <w:tc>
          <w:tcPr>
            <w:tcW w:w="703" w:type="dxa"/>
            <w:vAlign w:val="center"/>
          </w:tcPr>
          <w:p>
            <w:pPr>
              <w:snapToGrid w:val="0"/>
              <w:jc w:val="center"/>
              <w:rPr>
                <w:rFonts w:ascii="宋体" w:hAnsi="宋体" w:eastAsia="宋体"/>
                <w:bCs/>
                <w:kern w:val="0"/>
                <w:sz w:val="24"/>
                <w:szCs w:val="24"/>
              </w:rPr>
            </w:pPr>
            <w:r>
              <w:rPr>
                <w:rFonts w:hint="eastAsia" w:ascii="宋体" w:hAnsi="宋体" w:eastAsia="宋体"/>
                <w:bCs/>
                <w:kern w:val="0"/>
                <w:sz w:val="24"/>
                <w:szCs w:val="24"/>
              </w:rPr>
              <w:t>6</w:t>
            </w:r>
          </w:p>
        </w:tc>
        <w:tc>
          <w:tcPr>
            <w:tcW w:w="703" w:type="dxa"/>
            <w:vAlign w:val="center"/>
          </w:tcPr>
          <w:p>
            <w:pPr>
              <w:snapToGrid w:val="0"/>
              <w:ind w:left="-80" w:leftChars="-25" w:right="-80" w:rightChars="-25"/>
              <w:jc w:val="center"/>
              <w:rPr>
                <w:rFonts w:ascii="宋体" w:hAnsi="宋体" w:eastAsia="宋体"/>
                <w:bCs/>
                <w:kern w:val="0"/>
                <w:sz w:val="24"/>
                <w:szCs w:val="24"/>
              </w:rPr>
            </w:pPr>
            <w:r>
              <w:rPr>
                <w:rFonts w:ascii="宋体" w:hAnsi="宋体" w:eastAsia="宋体"/>
                <w:bCs/>
                <w:kern w:val="0"/>
                <w:sz w:val="24"/>
                <w:szCs w:val="24"/>
              </w:rPr>
              <w:t>36</w:t>
            </w:r>
          </w:p>
        </w:tc>
        <w:tc>
          <w:tcPr>
            <w:tcW w:w="703" w:type="dxa"/>
            <w:vAlign w:val="center"/>
          </w:tcPr>
          <w:p>
            <w:pPr>
              <w:snapToGrid w:val="0"/>
              <w:ind w:right="-163" w:rightChars="-51"/>
              <w:jc w:val="center"/>
              <w:rPr>
                <w:rFonts w:hint="eastAsia" w:ascii="宋体" w:hAnsi="宋体" w:eastAsia="宋体"/>
                <w:bCs/>
                <w:kern w:val="0"/>
                <w:sz w:val="24"/>
                <w:szCs w:val="24"/>
                <w:lang w:eastAsia="zh-CN"/>
              </w:rPr>
            </w:pPr>
            <w:r>
              <w:rPr>
                <w:rFonts w:ascii="宋体" w:hAnsi="宋体" w:eastAsia="宋体"/>
                <w:bCs/>
                <w:kern w:val="0"/>
                <w:sz w:val="24"/>
                <w:szCs w:val="24"/>
              </w:rPr>
              <w:t>15</w:t>
            </w:r>
            <w:r>
              <w:rPr>
                <w:rFonts w:hint="eastAsia" w:ascii="宋体" w:hAnsi="宋体" w:eastAsia="宋体"/>
                <w:bCs/>
                <w:kern w:val="0"/>
                <w:sz w:val="24"/>
                <w:szCs w:val="24"/>
                <w:lang w:val="en-US" w:eastAsia="zh-CN"/>
              </w:rPr>
              <w:t>6</w:t>
            </w:r>
          </w:p>
        </w:tc>
      </w:tr>
    </w:tbl>
    <w:p>
      <w:pPr>
        <w:pStyle w:val="15"/>
        <w:numPr>
          <w:ilvl w:val="0"/>
          <w:numId w:val="0"/>
        </w:numPr>
        <w:overflowPunct w:val="0"/>
        <w:adjustRightInd w:val="0"/>
        <w:spacing w:line="360" w:lineRule="auto"/>
        <w:outlineLvl w:val="0"/>
        <w:rPr>
          <w:rFonts w:hint="eastAsia" w:asciiTheme="minorEastAsia" w:hAnsiTheme="minorEastAsia" w:eastAsiaTheme="minorEastAsia" w:cstheme="minorEastAsia"/>
          <w:b/>
          <w:bCs/>
          <w:sz w:val="24"/>
          <w:szCs w:val="24"/>
        </w:rPr>
      </w:pPr>
    </w:p>
    <w:p>
      <w:pPr>
        <w:numPr>
          <w:ilvl w:val="0"/>
          <w:numId w:val="0"/>
        </w:numPr>
        <w:snapToGrid w:val="0"/>
        <w:spacing w:line="360" w:lineRule="auto"/>
        <w:ind w:firstLine="422" w:firstLineChars="200"/>
        <w:rPr>
          <w:rFonts w:hint="eastAsia" w:asciiTheme="minorEastAsia" w:hAnsiTheme="minorEastAsia" w:eastAsiaTheme="minorEastAsia" w:cstheme="minorEastAsia"/>
          <w:b/>
          <w:bCs/>
          <w:color w:val="auto"/>
          <w:kern w:val="2"/>
          <w:sz w:val="21"/>
          <w:szCs w:val="21"/>
          <w:lang w:val="en-US" w:eastAsia="zh-CN" w:bidi="ar-SA"/>
        </w:rPr>
      </w:pPr>
      <w:r>
        <w:rPr>
          <w:rFonts w:hint="eastAsia" w:asciiTheme="minorEastAsia" w:hAnsiTheme="minorEastAsia" w:eastAsiaTheme="minorEastAsia" w:cstheme="minorEastAsia"/>
          <w:b/>
          <w:bCs/>
          <w:color w:val="auto"/>
          <w:kern w:val="2"/>
          <w:sz w:val="21"/>
          <w:szCs w:val="21"/>
          <w:lang w:val="en-US" w:eastAsia="zh-CN" w:bidi="ar-SA"/>
        </w:rPr>
        <w:t>（二）教学进程安排表</w:t>
      </w:r>
    </w:p>
    <w:tbl>
      <w:tblPr>
        <w:tblStyle w:val="9"/>
        <w:tblpPr w:leftFromText="180" w:rightFromText="180" w:vertAnchor="text" w:horzAnchor="page" w:tblpXSpec="center" w:tblpY="473"/>
        <w:tblOverlap w:val="never"/>
        <w:tblW w:w="95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2"/>
        <w:gridCol w:w="410"/>
        <w:gridCol w:w="420"/>
        <w:gridCol w:w="10"/>
        <w:gridCol w:w="2170"/>
        <w:gridCol w:w="720"/>
        <w:gridCol w:w="810"/>
        <w:gridCol w:w="640"/>
        <w:gridCol w:w="640"/>
        <w:gridCol w:w="630"/>
        <w:gridCol w:w="650"/>
        <w:gridCol w:w="640"/>
        <w:gridCol w:w="640"/>
        <w:gridCol w:w="7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12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课程</w:t>
            </w:r>
          </w:p>
        </w:tc>
        <w:tc>
          <w:tcPr>
            <w:tcW w:w="21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课程名称</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学分</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学时</w:t>
            </w:r>
          </w:p>
        </w:tc>
        <w:tc>
          <w:tcPr>
            <w:tcW w:w="38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各学期教学周数与周学时分配</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考核方式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28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类别</w:t>
            </w:r>
          </w:p>
        </w:tc>
        <w:tc>
          <w:tcPr>
            <w:tcW w:w="21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28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21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17周</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18周</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18周</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18周</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18周</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19周</w:t>
            </w: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jc w:val="center"/>
        </w:trPr>
        <w:tc>
          <w:tcPr>
            <w:tcW w:w="452"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公共基础课</w:t>
            </w:r>
          </w:p>
        </w:tc>
        <w:tc>
          <w:tcPr>
            <w:tcW w:w="8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必修课</w:t>
            </w:r>
          </w:p>
        </w:tc>
        <w:tc>
          <w:tcPr>
            <w:tcW w:w="21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思想政治</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142</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jc w:val="center"/>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1"/>
                <w:szCs w:val="21"/>
                <w:highlight w:val="none"/>
                <w:u w:val="none"/>
              </w:rPr>
            </w:pPr>
          </w:p>
        </w:tc>
        <w:tc>
          <w:tcPr>
            <w:tcW w:w="8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1"/>
                <w:szCs w:val="21"/>
                <w:highlight w:val="none"/>
                <w:u w:val="none"/>
              </w:rPr>
            </w:pPr>
          </w:p>
        </w:tc>
        <w:tc>
          <w:tcPr>
            <w:tcW w:w="21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语文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196</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jc w:val="center"/>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1"/>
                <w:szCs w:val="21"/>
                <w:highlight w:val="none"/>
                <w:u w:val="none"/>
              </w:rPr>
            </w:pPr>
          </w:p>
        </w:tc>
        <w:tc>
          <w:tcPr>
            <w:tcW w:w="8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1"/>
                <w:szCs w:val="21"/>
                <w:highlight w:val="none"/>
                <w:u w:val="none"/>
              </w:rPr>
            </w:pPr>
          </w:p>
        </w:tc>
        <w:tc>
          <w:tcPr>
            <w:tcW w:w="21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数学</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142</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jc w:val="center"/>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1"/>
                <w:szCs w:val="21"/>
                <w:highlight w:val="none"/>
                <w:u w:val="none"/>
              </w:rPr>
            </w:pPr>
          </w:p>
        </w:tc>
        <w:tc>
          <w:tcPr>
            <w:tcW w:w="8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1"/>
                <w:szCs w:val="21"/>
                <w:highlight w:val="none"/>
                <w:u w:val="none"/>
              </w:rPr>
            </w:pPr>
          </w:p>
        </w:tc>
        <w:tc>
          <w:tcPr>
            <w:tcW w:w="21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英语</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142</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jc w:val="center"/>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1"/>
                <w:szCs w:val="21"/>
                <w:highlight w:val="none"/>
                <w:u w:val="none"/>
              </w:rPr>
            </w:pPr>
          </w:p>
        </w:tc>
        <w:tc>
          <w:tcPr>
            <w:tcW w:w="8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1"/>
                <w:szCs w:val="21"/>
                <w:highlight w:val="none"/>
                <w:u w:val="none"/>
              </w:rPr>
            </w:pPr>
          </w:p>
        </w:tc>
        <w:tc>
          <w:tcPr>
            <w:tcW w:w="21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历史</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1"/>
                <w:szCs w:val="21"/>
                <w:highlight w:val="none"/>
                <w:u w:val="none"/>
              </w:rPr>
            </w:pPr>
          </w:p>
        </w:tc>
        <w:tc>
          <w:tcPr>
            <w:tcW w:w="8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1"/>
                <w:szCs w:val="21"/>
                <w:highlight w:val="none"/>
                <w:u w:val="none"/>
              </w:rPr>
            </w:pPr>
          </w:p>
        </w:tc>
        <w:tc>
          <w:tcPr>
            <w:tcW w:w="21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信息技术</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140</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jc w:val="center"/>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1"/>
                <w:szCs w:val="21"/>
                <w:highlight w:val="none"/>
                <w:u w:val="none"/>
              </w:rPr>
            </w:pPr>
          </w:p>
        </w:tc>
        <w:tc>
          <w:tcPr>
            <w:tcW w:w="8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1"/>
                <w:szCs w:val="21"/>
                <w:highlight w:val="none"/>
                <w:u w:val="none"/>
              </w:rPr>
            </w:pPr>
          </w:p>
        </w:tc>
        <w:tc>
          <w:tcPr>
            <w:tcW w:w="21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体育与健康</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178</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jc w:val="center"/>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1"/>
                <w:szCs w:val="21"/>
                <w:highlight w:val="none"/>
                <w:u w:val="none"/>
              </w:rPr>
            </w:pPr>
          </w:p>
        </w:tc>
        <w:tc>
          <w:tcPr>
            <w:tcW w:w="8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1"/>
                <w:szCs w:val="21"/>
                <w:highlight w:val="none"/>
                <w:u w:val="none"/>
              </w:rPr>
            </w:pPr>
          </w:p>
        </w:tc>
        <w:tc>
          <w:tcPr>
            <w:tcW w:w="21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艺术</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jc w:val="center"/>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1"/>
                <w:szCs w:val="21"/>
                <w:highlight w:val="none"/>
                <w:u w:val="none"/>
              </w:rPr>
            </w:pPr>
          </w:p>
        </w:tc>
        <w:tc>
          <w:tcPr>
            <w:tcW w:w="8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1"/>
                <w:szCs w:val="21"/>
                <w:highlight w:val="none"/>
                <w:u w:val="none"/>
              </w:rPr>
            </w:pPr>
          </w:p>
        </w:tc>
        <w:tc>
          <w:tcPr>
            <w:tcW w:w="218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小计：(占31.8 %)</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59</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1045</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jc w:val="center"/>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1"/>
                <w:szCs w:val="21"/>
                <w:highlight w:val="none"/>
                <w:u w:val="none"/>
              </w:rPr>
            </w:pPr>
          </w:p>
        </w:tc>
        <w:tc>
          <w:tcPr>
            <w:tcW w:w="8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限选课</w:t>
            </w:r>
          </w:p>
        </w:tc>
        <w:tc>
          <w:tcPr>
            <w:tcW w:w="21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劳动教育</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jc w:val="center"/>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1"/>
                <w:szCs w:val="21"/>
                <w:highlight w:val="none"/>
                <w:u w:val="none"/>
              </w:rPr>
            </w:pPr>
          </w:p>
        </w:tc>
        <w:tc>
          <w:tcPr>
            <w:tcW w:w="8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1"/>
                <w:szCs w:val="21"/>
                <w:highlight w:val="none"/>
                <w:u w:val="none"/>
              </w:rPr>
            </w:pPr>
          </w:p>
        </w:tc>
        <w:tc>
          <w:tcPr>
            <w:tcW w:w="218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国家安全教育</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auto"/>
                <w:sz w:val="22"/>
                <w:szCs w:val="22"/>
                <w:highlight w:val="none"/>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auto"/>
                <w:sz w:val="22"/>
                <w:szCs w:val="22"/>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auto"/>
                <w:sz w:val="22"/>
                <w:szCs w:val="22"/>
                <w:highlight w:val="none"/>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auto"/>
                <w:sz w:val="22"/>
                <w:szCs w:val="22"/>
                <w:highlight w:val="none"/>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auto"/>
                <w:sz w:val="22"/>
                <w:szCs w:val="22"/>
                <w:highlight w:val="none"/>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jc w:val="center"/>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1"/>
                <w:szCs w:val="21"/>
                <w:highlight w:val="none"/>
                <w:u w:val="none"/>
              </w:rPr>
            </w:pPr>
          </w:p>
        </w:tc>
        <w:tc>
          <w:tcPr>
            <w:tcW w:w="8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1"/>
                <w:szCs w:val="21"/>
                <w:highlight w:val="none"/>
                <w:u w:val="none"/>
              </w:rPr>
            </w:pPr>
          </w:p>
        </w:tc>
        <w:tc>
          <w:tcPr>
            <w:tcW w:w="21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职业素养</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jc w:val="center"/>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1"/>
                <w:szCs w:val="21"/>
                <w:highlight w:val="none"/>
                <w:u w:val="none"/>
              </w:rPr>
            </w:pPr>
          </w:p>
        </w:tc>
        <w:tc>
          <w:tcPr>
            <w:tcW w:w="8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1"/>
                <w:szCs w:val="21"/>
                <w:highlight w:val="none"/>
                <w:u w:val="none"/>
              </w:rPr>
            </w:pPr>
          </w:p>
        </w:tc>
        <w:tc>
          <w:tcPr>
            <w:tcW w:w="21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中华优秀传统文化</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1"/>
                <w:szCs w:val="21"/>
                <w:highlight w:val="none"/>
                <w:u w:val="none"/>
              </w:rPr>
            </w:pPr>
          </w:p>
        </w:tc>
        <w:tc>
          <w:tcPr>
            <w:tcW w:w="8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1"/>
                <w:szCs w:val="21"/>
                <w:highlight w:val="none"/>
                <w:u w:val="none"/>
              </w:rPr>
            </w:pPr>
          </w:p>
        </w:tc>
        <w:tc>
          <w:tcPr>
            <w:tcW w:w="21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小计：(占  3.2  %)</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106</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jc w:val="center"/>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1"/>
                <w:szCs w:val="21"/>
                <w:highlight w:val="none"/>
                <w:u w:val="none"/>
              </w:rPr>
            </w:pPr>
          </w:p>
        </w:tc>
        <w:tc>
          <w:tcPr>
            <w:tcW w:w="30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小计：(占 35.0 %)</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65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1151</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19</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17</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12</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10</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7</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0</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52"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专业技能课</w:t>
            </w: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必修课</w:t>
            </w:r>
          </w:p>
        </w:tc>
        <w:tc>
          <w:tcPr>
            <w:tcW w:w="4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专</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业</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核</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课</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基础会计</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68</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8"/>
                <w:szCs w:val="18"/>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8"/>
                <w:szCs w:val="18"/>
                <w:highlight w:val="none"/>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2"/>
                <w:szCs w:val="22"/>
                <w:highlight w:val="none"/>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1"/>
                <w:szCs w:val="21"/>
                <w:highlight w:val="none"/>
                <w:u w:val="none"/>
              </w:rPr>
            </w:pPr>
          </w:p>
        </w:tc>
        <w:tc>
          <w:tcPr>
            <w:tcW w:w="4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现代物流基础</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85</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8"/>
                <w:szCs w:val="18"/>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8"/>
                <w:szCs w:val="18"/>
                <w:highlight w:val="none"/>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2"/>
                <w:szCs w:val="22"/>
                <w:highlight w:val="none"/>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1"/>
                <w:szCs w:val="21"/>
                <w:highlight w:val="none"/>
                <w:u w:val="none"/>
              </w:rPr>
            </w:pPr>
          </w:p>
        </w:tc>
        <w:tc>
          <w:tcPr>
            <w:tcW w:w="4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国际贸易实务</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8"/>
                <w:szCs w:val="18"/>
                <w:highlight w:val="none"/>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2"/>
                <w:szCs w:val="22"/>
                <w:highlight w:val="none"/>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1"/>
                <w:szCs w:val="21"/>
                <w:highlight w:val="none"/>
                <w:u w:val="none"/>
              </w:rPr>
            </w:pPr>
          </w:p>
        </w:tc>
        <w:tc>
          <w:tcPr>
            <w:tcW w:w="4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物流管理职业技能等级认证职业基础</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6</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108</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2"/>
                <w:szCs w:val="22"/>
                <w:highlight w:val="none"/>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1"/>
                <w:szCs w:val="21"/>
                <w:highlight w:val="none"/>
                <w:u w:val="none"/>
              </w:rPr>
            </w:pPr>
          </w:p>
        </w:tc>
        <w:tc>
          <w:tcPr>
            <w:tcW w:w="4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★物流装备技术</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72</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2"/>
                <w:szCs w:val="22"/>
                <w:highlight w:val="none"/>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1"/>
                <w:szCs w:val="21"/>
                <w:highlight w:val="none"/>
                <w:u w:val="none"/>
              </w:rPr>
            </w:pPr>
          </w:p>
        </w:tc>
        <w:tc>
          <w:tcPr>
            <w:tcW w:w="4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★物流单证实务</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72</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2"/>
                <w:szCs w:val="22"/>
                <w:highlight w:val="none"/>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1"/>
                <w:szCs w:val="21"/>
                <w:highlight w:val="none"/>
                <w:u w:val="none"/>
              </w:rPr>
            </w:pPr>
          </w:p>
        </w:tc>
        <w:tc>
          <w:tcPr>
            <w:tcW w:w="4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物流管理职业技能等级认证初级技能</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2"/>
                <w:szCs w:val="22"/>
                <w:highlight w:val="none"/>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1"/>
                <w:szCs w:val="21"/>
                <w:highlight w:val="none"/>
                <w:u w:val="none"/>
              </w:rPr>
            </w:pPr>
          </w:p>
        </w:tc>
        <w:tc>
          <w:tcPr>
            <w:tcW w:w="4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★运输作业实务</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72</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2"/>
                <w:szCs w:val="22"/>
                <w:highlight w:val="none"/>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1"/>
                <w:szCs w:val="21"/>
                <w:highlight w:val="none"/>
                <w:u w:val="none"/>
              </w:rPr>
            </w:pPr>
          </w:p>
        </w:tc>
        <w:tc>
          <w:tcPr>
            <w:tcW w:w="4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小计：</w:t>
            </w:r>
            <w:r>
              <w:rPr>
                <w:rStyle w:val="41"/>
                <w:color w:val="auto"/>
                <w:highlight w:val="none"/>
                <w:lang w:val="en-US" w:eastAsia="zh-CN" w:bidi="ar"/>
              </w:rPr>
              <w:t>(占</w:t>
            </w:r>
            <w:r>
              <w:rPr>
                <w:rStyle w:val="41"/>
                <w:rFonts w:hint="eastAsia"/>
                <w:color w:val="auto"/>
                <w:highlight w:val="none"/>
                <w:lang w:val="en-US" w:eastAsia="zh-CN" w:bidi="ar"/>
              </w:rPr>
              <w:t>18.9</w:t>
            </w:r>
            <w:r>
              <w:rPr>
                <w:rStyle w:val="41"/>
                <w:color w:val="auto"/>
                <w:highlight w:val="none"/>
                <w:lang w:val="en-US" w:eastAsia="zh-CN" w:bidi="ar"/>
              </w:rPr>
              <w:t xml:space="preserve"> %)</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u w:val="none"/>
                <w:lang w:val="en-US" w:eastAsia="zh-CN" w:bidi="ar"/>
              </w:rPr>
              <w:t>35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u w:val="none"/>
                <w:lang w:val="en-US" w:eastAsia="zh-CN" w:bidi="ar"/>
              </w:rPr>
              <w:t>621</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u w:val="none"/>
                <w:lang w:val="en-US" w:eastAsia="zh-CN" w:bidi="ar"/>
              </w:rPr>
              <w:t>9</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u w:val="none"/>
                <w:lang w:val="en-US" w:eastAsia="zh-CN" w:bidi="ar"/>
              </w:rPr>
              <w:t>8</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u w:val="none"/>
                <w:lang w:val="en-US" w:eastAsia="zh-CN" w:bidi="ar"/>
              </w:rPr>
              <w:t>4</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u w:val="none"/>
                <w:lang w:val="en-US" w:eastAsia="zh-CN" w:bidi="ar"/>
              </w:rPr>
              <w:t>10</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u w:val="none"/>
                <w:lang w:val="en-US" w:eastAsia="zh-CN" w:bidi="ar"/>
              </w:rPr>
              <w:t>4</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u w:val="none"/>
                <w:lang w:val="en-US" w:eastAsia="zh-CN" w:bidi="ar"/>
              </w:rPr>
              <w:t>0</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2"/>
                <w:szCs w:val="22"/>
                <w:highlight w:val="none"/>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1"/>
                <w:szCs w:val="21"/>
                <w:highlight w:val="none"/>
                <w:u w:val="none"/>
              </w:rPr>
            </w:pPr>
          </w:p>
        </w:tc>
        <w:tc>
          <w:tcPr>
            <w:tcW w:w="4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专业方向课</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物流综合实训</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叉车驾驶（一）</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6</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108</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2"/>
                <w:szCs w:val="22"/>
                <w:highlight w:val="none"/>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1"/>
                <w:szCs w:val="21"/>
                <w:highlight w:val="none"/>
                <w:u w:val="none"/>
              </w:rPr>
            </w:pPr>
          </w:p>
        </w:tc>
        <w:tc>
          <w:tcPr>
            <w:tcW w:w="4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物流综合实训</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叉车驾驶（二）</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6</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108</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2"/>
                <w:szCs w:val="22"/>
                <w:highlight w:val="none"/>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1"/>
                <w:szCs w:val="21"/>
                <w:highlight w:val="none"/>
                <w:u w:val="none"/>
              </w:rPr>
            </w:pPr>
          </w:p>
        </w:tc>
        <w:tc>
          <w:tcPr>
            <w:tcW w:w="4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★仓储与配送实务</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72</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jc w:val="center"/>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2"/>
                <w:szCs w:val="22"/>
                <w:highlight w:val="none"/>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1"/>
                <w:szCs w:val="21"/>
                <w:highlight w:val="none"/>
                <w:u w:val="none"/>
              </w:rPr>
            </w:pPr>
          </w:p>
        </w:tc>
        <w:tc>
          <w:tcPr>
            <w:tcW w:w="4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★电子商务与物流</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54</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jc w:val="center"/>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2"/>
                <w:szCs w:val="22"/>
                <w:highlight w:val="none"/>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1"/>
                <w:szCs w:val="21"/>
                <w:highlight w:val="none"/>
                <w:u w:val="none"/>
              </w:rPr>
            </w:pPr>
          </w:p>
        </w:tc>
        <w:tc>
          <w:tcPr>
            <w:tcW w:w="4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★货运代理实务</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72</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jc w:val="center"/>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2"/>
                <w:szCs w:val="22"/>
                <w:highlight w:val="none"/>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1"/>
                <w:szCs w:val="21"/>
                <w:highlight w:val="none"/>
                <w:u w:val="none"/>
              </w:rPr>
            </w:pPr>
          </w:p>
        </w:tc>
        <w:tc>
          <w:tcPr>
            <w:tcW w:w="4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小计：</w:t>
            </w:r>
            <w:r>
              <w:rPr>
                <w:rStyle w:val="41"/>
                <w:color w:val="auto"/>
                <w:highlight w:val="none"/>
                <w:lang w:val="en-US" w:eastAsia="zh-CN" w:bidi="ar"/>
              </w:rPr>
              <w:t>(占  12.</w:t>
            </w:r>
            <w:r>
              <w:rPr>
                <w:rStyle w:val="41"/>
                <w:rFonts w:hint="eastAsia"/>
                <w:color w:val="auto"/>
                <w:highlight w:val="none"/>
                <w:lang w:val="en-US" w:eastAsia="zh-CN" w:bidi="ar"/>
              </w:rPr>
              <w:t>6</w:t>
            </w:r>
            <w:r>
              <w:rPr>
                <w:rStyle w:val="41"/>
                <w:color w:val="auto"/>
                <w:highlight w:val="none"/>
                <w:lang w:val="en-US" w:eastAsia="zh-CN" w:bidi="ar"/>
              </w:rPr>
              <w:t xml:space="preserve">  %)</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u w:val="none"/>
                <w:lang w:val="en-US" w:eastAsia="zh-CN" w:bidi="ar"/>
              </w:rPr>
              <w:t>16</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u w:val="none"/>
                <w:lang w:val="en-US" w:eastAsia="zh-CN" w:bidi="ar"/>
              </w:rPr>
              <w:t>414</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u w:val="none"/>
                <w:lang w:val="en-US" w:eastAsia="zh-CN" w:bidi="ar"/>
              </w:rPr>
              <w:t>0</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u w:val="none"/>
                <w:lang w:val="en-US" w:eastAsia="zh-CN" w:bidi="ar"/>
              </w:rPr>
              <w:t>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u w:val="none"/>
                <w:lang w:val="en-US" w:eastAsia="zh-CN" w:bidi="ar"/>
              </w:rPr>
              <w:t>10</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u w:val="none"/>
                <w:lang w:val="en-US" w:eastAsia="zh-CN" w:bidi="ar"/>
              </w:rPr>
              <w:t>6</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u w:val="none"/>
                <w:lang w:val="en-US" w:eastAsia="zh-CN" w:bidi="ar"/>
              </w:rPr>
              <w:t>7</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u w:val="none"/>
                <w:lang w:val="en-US" w:eastAsia="zh-CN" w:bidi="ar"/>
              </w:rPr>
              <w:t>0</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jc w:val="center"/>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2"/>
                <w:szCs w:val="22"/>
                <w:highlight w:val="none"/>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1"/>
                <w:szCs w:val="21"/>
                <w:highlight w:val="none"/>
                <w:u w:val="none"/>
              </w:rPr>
            </w:pPr>
          </w:p>
        </w:tc>
        <w:tc>
          <w:tcPr>
            <w:tcW w:w="26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小计：(占 31.5  %)</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u w:val="none"/>
                <w:lang w:val="en-US" w:eastAsia="zh-CN" w:bidi="ar"/>
              </w:rPr>
              <w:t>51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u w:val="none"/>
                <w:lang w:val="en-US" w:eastAsia="zh-CN" w:bidi="ar"/>
              </w:rPr>
              <w:t>1035</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u w:val="none"/>
                <w:lang w:val="en-US" w:eastAsia="zh-CN" w:bidi="ar"/>
              </w:rPr>
              <w:t>9</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u w:val="none"/>
                <w:lang w:val="en-US" w:eastAsia="zh-CN" w:bidi="ar"/>
              </w:rPr>
              <w:t>8</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u w:val="none"/>
                <w:lang w:val="en-US" w:eastAsia="zh-CN" w:bidi="ar"/>
              </w:rPr>
              <w:t>14</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u w:val="none"/>
                <w:lang w:val="en-US" w:eastAsia="zh-CN" w:bidi="ar"/>
              </w:rPr>
              <w:t>16</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u w:val="none"/>
                <w:lang w:val="en-US" w:eastAsia="zh-CN" w:bidi="ar"/>
              </w:rPr>
              <w:t>11</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u w:val="none"/>
                <w:lang w:val="en-US" w:eastAsia="zh-CN" w:bidi="ar"/>
              </w:rPr>
              <w:t>0</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jc w:val="center"/>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2"/>
                <w:szCs w:val="22"/>
                <w:highlight w:val="none"/>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选修课</w:t>
            </w:r>
          </w:p>
        </w:tc>
        <w:tc>
          <w:tcPr>
            <w:tcW w:w="4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专业限选课</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商务礼仪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54</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8"/>
                <w:szCs w:val="18"/>
                <w:highlight w:val="none"/>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jc w:val="center"/>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2"/>
                <w:szCs w:val="22"/>
                <w:highlight w:val="none"/>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1"/>
                <w:szCs w:val="21"/>
                <w:highlight w:val="none"/>
                <w:u w:val="none"/>
              </w:rPr>
            </w:pPr>
          </w:p>
        </w:tc>
        <w:tc>
          <w:tcPr>
            <w:tcW w:w="4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物流信息技术应用</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8"/>
                <w:szCs w:val="18"/>
                <w:highlight w:val="none"/>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jc w:val="center"/>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2"/>
                <w:szCs w:val="22"/>
                <w:highlight w:val="none"/>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1"/>
                <w:szCs w:val="21"/>
                <w:highlight w:val="none"/>
                <w:u w:val="none"/>
              </w:rPr>
            </w:pPr>
          </w:p>
        </w:tc>
        <w:tc>
          <w:tcPr>
            <w:tcW w:w="4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物流经济地理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54</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8"/>
                <w:szCs w:val="18"/>
                <w:highlight w:val="none"/>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jc w:val="center"/>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2"/>
                <w:szCs w:val="22"/>
                <w:highlight w:val="none"/>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1"/>
                <w:szCs w:val="21"/>
                <w:highlight w:val="none"/>
                <w:u w:val="none"/>
              </w:rPr>
            </w:pPr>
          </w:p>
        </w:tc>
        <w:tc>
          <w:tcPr>
            <w:tcW w:w="4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跨境电商实务</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54</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jc w:val="center"/>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2"/>
                <w:szCs w:val="22"/>
                <w:highlight w:val="none"/>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1"/>
                <w:szCs w:val="21"/>
                <w:highlight w:val="none"/>
                <w:u w:val="none"/>
              </w:rPr>
            </w:pPr>
          </w:p>
        </w:tc>
        <w:tc>
          <w:tcPr>
            <w:tcW w:w="4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excel</w:t>
            </w:r>
            <w:r>
              <w:rPr>
                <w:rFonts w:hint="eastAsia" w:ascii="宋体" w:hAnsi="宋体" w:eastAsia="宋体" w:cs="宋体"/>
                <w:i w:val="0"/>
                <w:iCs w:val="0"/>
                <w:color w:val="auto"/>
                <w:kern w:val="0"/>
                <w:sz w:val="18"/>
                <w:szCs w:val="18"/>
                <w:highlight w:val="none"/>
                <w:u w:val="none"/>
                <w:lang w:val="en-US" w:eastAsia="zh-CN" w:bidi="ar"/>
              </w:rPr>
              <w:t>高级运用</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72</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8"/>
                <w:szCs w:val="18"/>
                <w:highlight w:val="none"/>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jc w:val="center"/>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2"/>
                <w:szCs w:val="22"/>
                <w:highlight w:val="none"/>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1"/>
                <w:szCs w:val="21"/>
                <w:highlight w:val="none"/>
                <w:u w:val="none"/>
              </w:rPr>
            </w:pPr>
          </w:p>
        </w:tc>
        <w:tc>
          <w:tcPr>
            <w:tcW w:w="4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VBSE创业基础实训课</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56</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jc w:val="center"/>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2"/>
                <w:szCs w:val="22"/>
                <w:highlight w:val="none"/>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1"/>
                <w:szCs w:val="21"/>
                <w:highlight w:val="none"/>
                <w:u w:val="none"/>
              </w:rPr>
            </w:pPr>
          </w:p>
        </w:tc>
        <w:tc>
          <w:tcPr>
            <w:tcW w:w="4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设计思维创新课</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56</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jc w:val="center"/>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2"/>
                <w:szCs w:val="22"/>
                <w:highlight w:val="none"/>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1"/>
                <w:szCs w:val="21"/>
                <w:highlight w:val="none"/>
                <w:u w:val="none"/>
              </w:rPr>
            </w:pPr>
          </w:p>
        </w:tc>
        <w:tc>
          <w:tcPr>
            <w:tcW w:w="4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ERP企业模拟经营管理沙盘课</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56</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jc w:val="center"/>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2"/>
                <w:szCs w:val="22"/>
                <w:highlight w:val="none"/>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1"/>
                <w:szCs w:val="21"/>
                <w:highlight w:val="none"/>
                <w:u w:val="none"/>
              </w:rPr>
            </w:pPr>
          </w:p>
        </w:tc>
        <w:tc>
          <w:tcPr>
            <w:tcW w:w="4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物流客户服务</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u w:val="none"/>
                <w:lang w:val="en-US" w:eastAsia="zh-CN" w:bidi="ar"/>
              </w:rPr>
              <w:t>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36</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2</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kern w:val="0"/>
                <w:sz w:val="22"/>
                <w:szCs w:val="22"/>
                <w:highlight w:val="none"/>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jc w:val="center"/>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2"/>
                <w:szCs w:val="22"/>
                <w:highlight w:val="none"/>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1"/>
                <w:szCs w:val="21"/>
                <w:highlight w:val="none"/>
                <w:u w:val="none"/>
              </w:rPr>
            </w:pPr>
          </w:p>
        </w:tc>
        <w:tc>
          <w:tcPr>
            <w:tcW w:w="4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物流法律法规</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u w:val="none"/>
                <w:lang w:val="en-US" w:eastAsia="zh-CN" w:bidi="ar"/>
              </w:rPr>
              <w:t>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36</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2"/>
                <w:szCs w:val="22"/>
                <w:highlight w:val="none"/>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1"/>
                <w:szCs w:val="21"/>
                <w:highlight w:val="none"/>
                <w:u w:val="none"/>
              </w:rPr>
            </w:pPr>
          </w:p>
        </w:tc>
        <w:tc>
          <w:tcPr>
            <w:tcW w:w="4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小计：</w:t>
            </w:r>
            <w:r>
              <w:rPr>
                <w:rStyle w:val="41"/>
                <w:color w:val="auto"/>
                <w:highlight w:val="none"/>
                <w:lang w:val="en-US" w:eastAsia="zh-CN" w:bidi="ar"/>
              </w:rPr>
              <w:t>(占</w:t>
            </w:r>
            <w:r>
              <w:rPr>
                <w:rStyle w:val="41"/>
                <w:rFonts w:hint="eastAsia"/>
                <w:color w:val="auto"/>
                <w:highlight w:val="none"/>
                <w:lang w:val="en-US" w:eastAsia="zh-CN" w:bidi="ar"/>
              </w:rPr>
              <w:t>14.4</w:t>
            </w:r>
            <w:r>
              <w:rPr>
                <w:rStyle w:val="41"/>
                <w:color w:val="auto"/>
                <w:highlight w:val="none"/>
                <w:lang w:val="en-US" w:eastAsia="zh-CN" w:bidi="ar"/>
              </w:rPr>
              <w:t xml:space="preserve"> %)</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u w:val="none"/>
                <w:lang w:val="en-US" w:eastAsia="zh-CN" w:bidi="ar"/>
              </w:rPr>
              <w:t>23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u w:val="none"/>
                <w:lang w:val="en-US" w:eastAsia="zh-CN" w:bidi="ar"/>
              </w:rPr>
              <w:t>474</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u w:val="none"/>
                <w:lang w:val="en-US" w:eastAsia="zh-CN" w:bidi="ar"/>
              </w:rPr>
              <w:t>0</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u w:val="none"/>
                <w:lang w:val="en-US" w:eastAsia="zh-CN" w:bidi="ar"/>
              </w:rPr>
              <w:t>3</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u w:val="none"/>
                <w:lang w:val="en-US" w:eastAsia="zh-CN" w:bidi="ar"/>
              </w:rPr>
              <w:t>2</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u w:val="none"/>
                <w:lang w:val="en-US" w:eastAsia="zh-CN" w:bidi="ar"/>
              </w:rPr>
              <w:t>2</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u w:val="none"/>
                <w:lang w:val="en-US" w:eastAsia="zh-CN" w:bidi="ar"/>
              </w:rPr>
              <w:t>10</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u w:val="none"/>
                <w:lang w:val="en-US" w:eastAsia="zh-CN" w:bidi="ar"/>
              </w:rPr>
              <w:t>0</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jc w:val="center"/>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2"/>
                <w:szCs w:val="22"/>
                <w:highlight w:val="none"/>
                <w:u w:val="none"/>
              </w:rPr>
            </w:pP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必修课</w:t>
            </w:r>
          </w:p>
        </w:tc>
        <w:tc>
          <w:tcPr>
            <w:tcW w:w="4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实践课</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军训</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1周</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jc w:val="center"/>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2"/>
                <w:szCs w:val="22"/>
                <w:highlight w:val="none"/>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1"/>
                <w:szCs w:val="21"/>
                <w:highlight w:val="none"/>
                <w:u w:val="none"/>
              </w:rPr>
            </w:pPr>
          </w:p>
        </w:tc>
        <w:tc>
          <w:tcPr>
            <w:tcW w:w="4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2"/>
                <w:szCs w:val="22"/>
                <w:highlight w:val="none"/>
                <w:u w:val="none"/>
              </w:rPr>
            </w:pP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岗位实习</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540</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auto"/>
                <w:sz w:val="21"/>
                <w:szCs w:val="21"/>
                <w:highlight w:val="none"/>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auto"/>
                <w:sz w:val="21"/>
                <w:szCs w:val="21"/>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auto"/>
                <w:sz w:val="21"/>
                <w:szCs w:val="21"/>
                <w:highlight w:val="none"/>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auto"/>
                <w:sz w:val="21"/>
                <w:szCs w:val="21"/>
                <w:highlight w:val="none"/>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auto"/>
                <w:sz w:val="21"/>
                <w:szCs w:val="21"/>
                <w:highlight w:val="none"/>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18周</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jc w:val="center"/>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2"/>
                <w:szCs w:val="22"/>
                <w:highlight w:val="none"/>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1"/>
                <w:szCs w:val="21"/>
                <w:highlight w:val="none"/>
                <w:u w:val="none"/>
              </w:rPr>
            </w:pPr>
          </w:p>
        </w:tc>
        <w:tc>
          <w:tcPr>
            <w:tcW w:w="4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2"/>
                <w:szCs w:val="22"/>
                <w:highlight w:val="none"/>
                <w:u w:val="none"/>
              </w:rPr>
            </w:pP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毕业教育</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auto"/>
                <w:sz w:val="21"/>
                <w:szCs w:val="21"/>
                <w:highlight w:val="none"/>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auto"/>
                <w:sz w:val="21"/>
                <w:szCs w:val="21"/>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auto"/>
                <w:sz w:val="21"/>
                <w:szCs w:val="21"/>
                <w:highlight w:val="none"/>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auto"/>
                <w:sz w:val="21"/>
                <w:szCs w:val="21"/>
                <w:highlight w:val="none"/>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auto"/>
                <w:sz w:val="21"/>
                <w:szCs w:val="21"/>
                <w:highlight w:val="none"/>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1周</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jc w:val="center"/>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2"/>
                <w:szCs w:val="22"/>
                <w:highlight w:val="none"/>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1"/>
                <w:szCs w:val="21"/>
                <w:highlight w:val="none"/>
                <w:u w:val="none"/>
              </w:rPr>
            </w:pPr>
          </w:p>
        </w:tc>
        <w:tc>
          <w:tcPr>
            <w:tcW w:w="4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2"/>
                <w:szCs w:val="22"/>
                <w:highlight w:val="none"/>
                <w:u w:val="none"/>
              </w:rPr>
            </w:pP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小计：</w:t>
            </w:r>
            <w:r>
              <w:rPr>
                <w:rStyle w:val="41"/>
                <w:color w:val="auto"/>
                <w:highlight w:val="none"/>
                <w:lang w:val="en-US" w:eastAsia="zh-CN" w:bidi="ar"/>
              </w:rPr>
              <w:t xml:space="preserve">(占 </w:t>
            </w:r>
            <w:r>
              <w:rPr>
                <w:rStyle w:val="41"/>
                <w:rFonts w:hint="eastAsia"/>
                <w:color w:val="auto"/>
                <w:highlight w:val="none"/>
                <w:lang w:val="en-US" w:eastAsia="zh-CN" w:bidi="ar"/>
              </w:rPr>
              <w:t>19.1</w:t>
            </w:r>
            <w:r>
              <w:rPr>
                <w:rStyle w:val="41"/>
                <w:color w:val="auto"/>
                <w:highlight w:val="none"/>
                <w:lang w:val="en-US" w:eastAsia="zh-CN" w:bidi="ar"/>
              </w:rPr>
              <w:t xml:space="preserve"> %)</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u w:val="none"/>
                <w:lang w:val="en-US" w:eastAsia="zh-CN" w:bidi="ar"/>
              </w:rPr>
              <w:t>35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u w:val="none"/>
                <w:lang w:val="en-US" w:eastAsia="zh-CN" w:bidi="ar"/>
              </w:rPr>
              <w:t>626</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34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合计</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174</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3286</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28</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28</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28</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28</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28</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0</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1"/>
                <w:szCs w:val="21"/>
                <w:u w:val="none"/>
                <w:lang w:val="en-US" w:eastAsia="zh-CN" w:bidi="ar"/>
              </w:rPr>
              <w:t>174</w:t>
            </w:r>
          </w:p>
        </w:tc>
      </w:tr>
    </w:tbl>
    <w:p>
      <w:pPr>
        <w:overflowPunct w:val="0"/>
        <w:adjustRightInd w:val="0"/>
        <w:spacing w:line="360" w:lineRule="auto"/>
        <w:ind w:firstLine="480" w:firstLineChars="200"/>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说明：</w:t>
      </w:r>
    </w:p>
    <w:p>
      <w:pPr>
        <w:overflowPunct w:val="0"/>
        <w:adjustRightInd w:val="0"/>
        <w:spacing w:line="360" w:lineRule="auto"/>
        <w:ind w:firstLine="480" w:firstLineChars="200"/>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《劳动教育》、《职业素养》、《国家安全教育》、《中华优秀传统文化》在限选课中必须开设课程。</w:t>
      </w:r>
    </w:p>
    <w:p>
      <w:pPr>
        <w:overflowPunct w:val="0"/>
        <w:adjustRightInd w:val="0"/>
        <w:spacing w:line="360" w:lineRule="auto"/>
        <w:ind w:firstLine="480" w:firstLineChars="200"/>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艺术课根据课程的安排可以放在第一学期或第二期一起上。</w:t>
      </w:r>
    </w:p>
    <w:p>
      <w:pPr>
        <w:overflowPunct w:val="0"/>
        <w:adjustRightInd w:val="0"/>
        <w:spacing w:line="360" w:lineRule="auto"/>
        <w:ind w:firstLine="480" w:firstLineChars="200"/>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专业限选课可根据专业课程情况作调整灵活安排上课的学期、上课的节数和选择开设的课程，但开设专业限选课的总课时，不能少于216学时。</w:t>
      </w:r>
    </w:p>
    <w:p>
      <w:pPr>
        <w:overflowPunct w:val="0"/>
        <w:adjustRightInd w:val="0"/>
        <w:spacing w:line="360" w:lineRule="auto"/>
        <w:ind w:firstLine="480" w:firstLineChars="200"/>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思想政治各模块开设安排，第一学期：中国特色社会主义，第二学期：心理健康与职业生涯，第三学期：哲学与人生，第四学期：职业道德与法治。</w:t>
      </w:r>
    </w:p>
    <w:p>
      <w:pPr>
        <w:overflowPunct w:val="0"/>
        <w:adjustRightInd w:val="0"/>
        <w:spacing w:line="360" w:lineRule="auto"/>
        <w:ind w:firstLine="480" w:firstLineChars="200"/>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开展现代学徒制或订单班培养的专业，可在第五个学期安排岗位课程（专业方向课或限选课）在企业实施教学。</w:t>
      </w:r>
    </w:p>
    <w:p>
      <w:pPr>
        <w:overflowPunct w:val="0"/>
        <w:adjustRightInd w:val="0"/>
        <w:spacing w:line="360" w:lineRule="auto"/>
        <w:ind w:firstLine="480" w:firstLineChars="200"/>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表中的小计占的比例可用每个大项的学时除总学时，保留小数点一位数。</w:t>
      </w:r>
    </w:p>
    <w:p>
      <w:pPr>
        <w:overflowPunct w:val="0"/>
        <w:adjustRightInd w:val="0"/>
        <w:spacing w:line="360" w:lineRule="auto"/>
        <w:ind w:firstLine="480" w:firstLineChars="200"/>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军训按1周7天、每天8课时开课。劳动周每学年开设1周，根据该学年教学周情况来确定开设的时间。</w:t>
      </w:r>
    </w:p>
    <w:p>
      <w:pPr>
        <w:overflowPunct w:val="0"/>
        <w:adjustRightInd w:val="0"/>
        <w:spacing w:line="360" w:lineRule="auto"/>
        <w:ind w:firstLine="480" w:firstLineChars="200"/>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考核方式分两种，一种是统考（用字母D表示)，一种是考查（用字母C表示)。</w:t>
      </w:r>
    </w:p>
    <w:p>
      <w:pPr>
        <w:overflowPunct w:val="0"/>
        <w:adjustRightInd w:val="0"/>
        <w:spacing w:line="360" w:lineRule="auto"/>
        <w:ind w:firstLine="482" w:firstLineChars="200"/>
        <w:outlineLvl w:val="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八、实施保障</w:t>
      </w:r>
    </w:p>
    <w:p>
      <w:pPr>
        <w:pStyle w:val="15"/>
        <w:overflowPunct w:val="0"/>
        <w:adjustRightInd w:val="0"/>
        <w:spacing w:line="360" w:lineRule="auto"/>
        <w:ind w:firstLine="482"/>
        <w:outlineLvl w:val="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（一）师资队伍</w:t>
      </w:r>
    </w:p>
    <w:p>
      <w:pPr>
        <w:overflowPunct w:val="0"/>
        <w:adjustRightInd w:val="0"/>
        <w:spacing w:line="360" w:lineRule="auto"/>
        <w:ind w:firstLine="480" w:firstLineChars="200"/>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物流服务与管理专业教学团队具有专任教师8人，均具备大学本科或以上学历。专任教师中级及以上职称人数是</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人，占总人数比例</w:t>
      </w:r>
      <w:r>
        <w:rPr>
          <w:rFonts w:hint="eastAsia" w:asciiTheme="minorEastAsia" w:hAnsiTheme="minorEastAsia" w:eastAsiaTheme="minorEastAsia" w:cstheme="minorEastAsia"/>
          <w:sz w:val="24"/>
          <w:szCs w:val="24"/>
          <w:lang w:val="en-US" w:eastAsia="zh-CN"/>
        </w:rPr>
        <w:t>75</w:t>
      </w:r>
      <w:r>
        <w:rPr>
          <w:rFonts w:hint="eastAsia" w:asciiTheme="minorEastAsia" w:hAnsiTheme="minorEastAsia" w:eastAsiaTheme="minorEastAsia" w:cstheme="minorEastAsia"/>
          <w:sz w:val="24"/>
          <w:szCs w:val="24"/>
        </w:rPr>
        <w:t>%。双师型教师共</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人，占总人数比例为</w:t>
      </w:r>
      <w:r>
        <w:rPr>
          <w:rFonts w:hint="eastAsia" w:asciiTheme="minorEastAsia" w:hAnsiTheme="minorEastAsia" w:eastAsiaTheme="minorEastAsia" w:cstheme="minorEastAsia"/>
          <w:sz w:val="24"/>
          <w:szCs w:val="24"/>
          <w:lang w:val="en-US" w:eastAsia="zh-CN"/>
        </w:rPr>
        <w:t>87.5</w:t>
      </w:r>
      <w:r>
        <w:rPr>
          <w:rFonts w:hint="eastAsia" w:asciiTheme="minorEastAsia" w:hAnsiTheme="minorEastAsia" w:eastAsiaTheme="minorEastAsia" w:cstheme="minorEastAsia"/>
          <w:sz w:val="24"/>
          <w:szCs w:val="24"/>
        </w:rPr>
        <w:t>0%。团队整体素质优良，职称结构较为合理，专任教师理论知识扎实，实践能力强，注重对学生职业素养与企业文化的熏陶。专任教师接受过职业教育教学方法论和岗位技能提升培训，在课程开发、项目教学、实训设计等方面有过硬的理论和操作能力。</w:t>
      </w:r>
    </w:p>
    <w:p>
      <w:pPr>
        <w:pStyle w:val="15"/>
        <w:overflowPunct w:val="0"/>
        <w:adjustRightInd w:val="0"/>
        <w:spacing w:line="360" w:lineRule="auto"/>
        <w:ind w:firstLine="482"/>
        <w:outlineLvl w:val="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（二）教学设施</w:t>
      </w:r>
    </w:p>
    <w:p>
      <w:pPr>
        <w:overflowPunct w:val="0"/>
        <w:adjustRightInd w:val="0"/>
        <w:spacing w:line="360" w:lineRule="auto"/>
        <w:ind w:firstLine="480" w:firstLineChars="200"/>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物流服务与管理专业教室配有多媒体教学平台，满足日常多媒体教学需要。</w:t>
      </w:r>
    </w:p>
    <w:p>
      <w:pPr>
        <w:overflowPunct w:val="0"/>
        <w:adjustRightInd w:val="0"/>
        <w:spacing w:line="360" w:lineRule="auto"/>
        <w:ind w:firstLine="480" w:firstLineChars="200"/>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专业以职业岗位技能为核心，以培养学生职业能力、职业道德及可持续发展能力为基本点，以工作（岗位）流程为导向，按照专业基础实训、专项技能实训、专业综合实训和跟岗实习四个层次建设专业实训基地。实训基地包括校内实训场室和校外实训基地。</w:t>
      </w:r>
    </w:p>
    <w:p>
      <w:pPr>
        <w:pStyle w:val="15"/>
        <w:overflowPunct w:val="0"/>
        <w:adjustRightInd w:val="0"/>
        <w:spacing w:line="360" w:lineRule="auto"/>
        <w:ind w:firstLine="482"/>
        <w:outlineLvl w:val="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校内实训场室</w:t>
      </w:r>
    </w:p>
    <w:p>
      <w:pPr>
        <w:spacing w:line="360" w:lineRule="auto"/>
        <w:ind w:firstLine="643"/>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本专业目前拥有物流实训室、叉车训练场共2个校内实训场室。实训场室面积、设施符合规范，能够满足专业建设、教学管理、信息化教学和学生自主学习的日常需要。</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4110"/>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实训场室名称</w:t>
            </w:r>
          </w:p>
        </w:tc>
        <w:tc>
          <w:tcPr>
            <w:tcW w:w="4110" w:type="dxa"/>
          </w:tcPr>
          <w:p>
            <w:pPr>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主要设备</w:t>
            </w:r>
          </w:p>
        </w:tc>
        <w:tc>
          <w:tcPr>
            <w:tcW w:w="2177" w:type="dxa"/>
          </w:tcPr>
          <w:p>
            <w:pPr>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主要实训项目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2235" w:type="dxa"/>
          </w:tcPr>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物流实训室</w:t>
            </w:r>
          </w:p>
        </w:tc>
        <w:tc>
          <w:tcPr>
            <w:tcW w:w="4110" w:type="dxa"/>
          </w:tcPr>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重型货架、轻型货架、流利货架、半自动打包机、电子标签分拣系统、仓储管理系统、RFID系统、堆垛机、手动搬运车、手持终端等。</w:t>
            </w:r>
          </w:p>
        </w:tc>
        <w:tc>
          <w:tcPr>
            <w:tcW w:w="2177" w:type="dxa"/>
          </w:tcPr>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仓储管理、配送管理、比赛训练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2235" w:type="dxa"/>
          </w:tcPr>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叉车训练场</w:t>
            </w:r>
          </w:p>
        </w:tc>
        <w:tc>
          <w:tcPr>
            <w:tcW w:w="4110" w:type="dxa"/>
          </w:tcPr>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电动叉车2台、柴油叉车1台、模拟叉车驾驶设备3台</w:t>
            </w:r>
          </w:p>
        </w:tc>
        <w:tc>
          <w:tcPr>
            <w:tcW w:w="2177" w:type="dxa"/>
          </w:tcPr>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叉车驾驶技能</w:t>
            </w:r>
          </w:p>
        </w:tc>
      </w:tr>
    </w:tbl>
    <w:p>
      <w:pPr>
        <w:pStyle w:val="15"/>
        <w:overflowPunct w:val="0"/>
        <w:adjustRightInd w:val="0"/>
        <w:spacing w:line="360" w:lineRule="auto"/>
        <w:ind w:firstLine="482"/>
        <w:outlineLvl w:val="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校外实训基地</w:t>
      </w:r>
    </w:p>
    <w:p>
      <w:pPr>
        <w:spacing w:line="360" w:lineRule="auto"/>
        <w:ind w:firstLine="643"/>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为了保证学生在校学习的知识和技能能够与企业接轨，必须建立相应的校外实训基地，以保证学生顺利完成顶岗实习任务。</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4110"/>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overflowPunct w:val="0"/>
              <w:adjustRightInd w:val="0"/>
              <w:spacing w:line="360" w:lineRule="auto"/>
              <w:jc w:val="center"/>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企业名称</w:t>
            </w:r>
          </w:p>
        </w:tc>
        <w:tc>
          <w:tcPr>
            <w:tcW w:w="4110" w:type="dxa"/>
          </w:tcPr>
          <w:p>
            <w:pPr>
              <w:overflowPunct w:val="0"/>
              <w:adjustRightInd w:val="0"/>
              <w:spacing w:line="360" w:lineRule="auto"/>
              <w:jc w:val="center"/>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功能</w:t>
            </w:r>
          </w:p>
        </w:tc>
        <w:tc>
          <w:tcPr>
            <w:tcW w:w="2177" w:type="dxa"/>
          </w:tcPr>
          <w:p>
            <w:pPr>
              <w:overflowPunct w:val="0"/>
              <w:adjustRightInd w:val="0"/>
              <w:spacing w:line="360" w:lineRule="auto"/>
              <w:jc w:val="center"/>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接纳学生数量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overflowPunct w:val="0"/>
              <w:adjustRightInd w:val="0"/>
              <w:spacing w:line="360" w:lineRule="auto"/>
              <w:jc w:val="center"/>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沃尔玛</w:t>
            </w:r>
          </w:p>
        </w:tc>
        <w:tc>
          <w:tcPr>
            <w:tcW w:w="4110" w:type="dxa"/>
          </w:tcPr>
          <w:p>
            <w:pPr>
              <w:overflowPunct w:val="0"/>
              <w:adjustRightInd w:val="0"/>
              <w:spacing w:line="360" w:lineRule="auto"/>
              <w:jc w:val="center"/>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零售企业物流管理实际操作</w:t>
            </w:r>
          </w:p>
        </w:tc>
        <w:tc>
          <w:tcPr>
            <w:tcW w:w="2177" w:type="dxa"/>
          </w:tcPr>
          <w:p>
            <w:pPr>
              <w:overflowPunct w:val="0"/>
              <w:adjustRightInd w:val="0"/>
              <w:spacing w:line="360" w:lineRule="auto"/>
              <w:jc w:val="center"/>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Align w:val="top"/>
          </w:tcPr>
          <w:p>
            <w:pPr>
              <w:overflowPunct w:val="0"/>
              <w:adjustRightInd w:val="0"/>
              <w:spacing w:line="360" w:lineRule="auto"/>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一汽物流（佛山）有限公司</w:t>
            </w:r>
          </w:p>
        </w:tc>
        <w:tc>
          <w:tcPr>
            <w:tcW w:w="4110" w:type="dxa"/>
            <w:vAlign w:val="top"/>
          </w:tcPr>
          <w:p>
            <w:pPr>
              <w:overflowPunct w:val="0"/>
              <w:adjustRightInd w:val="0"/>
              <w:spacing w:line="360" w:lineRule="auto"/>
              <w:ind w:firstLine="960" w:firstLineChars="400"/>
              <w:jc w:val="both"/>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物流岗位实际操作</w:t>
            </w:r>
          </w:p>
        </w:tc>
        <w:tc>
          <w:tcPr>
            <w:tcW w:w="2177" w:type="dxa"/>
            <w:vAlign w:val="top"/>
          </w:tcPr>
          <w:p>
            <w:pPr>
              <w:overflowPunct w:val="0"/>
              <w:adjustRightInd w:val="0"/>
              <w:spacing w:line="360" w:lineRule="auto"/>
              <w:jc w:val="center"/>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100</w:t>
            </w:r>
          </w:p>
        </w:tc>
      </w:tr>
    </w:tbl>
    <w:p>
      <w:pPr>
        <w:pStyle w:val="15"/>
        <w:overflowPunct w:val="0"/>
        <w:adjustRightInd w:val="0"/>
        <w:spacing w:line="360" w:lineRule="auto"/>
        <w:ind w:firstLine="482"/>
        <w:outlineLvl w:val="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（三）教学资源</w:t>
      </w:r>
    </w:p>
    <w:p>
      <w:pPr>
        <w:overflowPunct w:val="0"/>
        <w:adjustRightInd w:val="0"/>
        <w:spacing w:line="360" w:lineRule="auto"/>
        <w:ind w:firstLine="480" w:firstLineChars="200"/>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物流服务与管理专业课程教材选择遵循学校规定，选择近三年内的中职规划教材。同时实训指导老师开发实训课程和实训指导教材，设计技能考核办法。专任教师制作核心课程的课程标准、教学内容、教案与电子课件、考试试题库等，结合物流管理专业的发展和特性，积极储备和积累网上最新的课程资源。能够满足学生专业学习，教师专业教学研究、教学实施和社会服务需要。</w:t>
      </w:r>
    </w:p>
    <w:p>
      <w:pPr>
        <w:pStyle w:val="15"/>
        <w:overflowPunct w:val="0"/>
        <w:adjustRightInd w:val="0"/>
        <w:spacing w:line="360" w:lineRule="auto"/>
        <w:ind w:firstLine="482"/>
        <w:outlineLvl w:val="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（四）教学方法</w:t>
      </w:r>
    </w:p>
    <w:p>
      <w:pPr>
        <w:overflowPunct w:val="0"/>
        <w:adjustRightInd w:val="0"/>
        <w:spacing w:line="360" w:lineRule="auto"/>
        <w:ind w:firstLine="480" w:firstLineChars="200"/>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加大教学手段和方法的改革，实施以真实工作任务为载体的教学手段，形成多元化的教学方法，实现理论教学与实训实习一体化，体现基于工作过程的教学指导思想。采用多媒体、计算机网络等现代化教学手段，勇于探索“翻转课堂”的教学新模式，开展互动式教学，案例教学及仿真模拟实训、发挥学生的主观能动性，培养学生创新和实践能力。</w:t>
      </w:r>
    </w:p>
    <w:p>
      <w:pPr>
        <w:pStyle w:val="15"/>
        <w:overflowPunct w:val="0"/>
        <w:adjustRightInd w:val="0"/>
        <w:spacing w:line="360" w:lineRule="auto"/>
        <w:ind w:firstLine="482"/>
        <w:outlineLvl w:val="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（五）学习评价</w:t>
      </w:r>
    </w:p>
    <w:p>
      <w:pPr>
        <w:pStyle w:val="25"/>
        <w:spacing w:line="360" w:lineRule="auto"/>
        <w:ind w:left="0" w:firstLine="480" w:firstLineChars="200"/>
        <w:contextualSpacing/>
        <w:rPr>
          <w:rFonts w:asciiTheme="minorEastAsia" w:hAnsiTheme="minorEastAsia" w:cstheme="minorEastAsia"/>
          <w:sz w:val="24"/>
          <w:szCs w:val="24"/>
        </w:rPr>
      </w:pPr>
      <w:r>
        <w:rPr>
          <w:rFonts w:hint="eastAsia" w:asciiTheme="minorEastAsia" w:hAnsiTheme="minorEastAsia" w:cstheme="minorEastAsia"/>
          <w:sz w:val="24"/>
          <w:szCs w:val="24"/>
        </w:rPr>
        <w:t>在评价方式上，对学生采取形成性评价（侧重于教学过程）和终结性评价（侧重于教学结果）相结合的方式进行。形成性评价主要有单元检测成绩、上课出勤、课堂表现（遵守纪律情况、参与讨论情况、提出问题或回答问题情况）、课后作业、实训手册等等。终结性评价主要是期末考试。终结评价期末考核依据科目不同，分别采取考查和考试模式。学生学习的形成性评价占综合评价分数60%、终结性评价期末考核占综合评价分数40%。若综合评价分数小于60分要进行学科补考。学校对学生的成绩实行学分制管理、有专门的学分管理系统，根据学生发展的需要和学校实际情况将学分分为基础学分和奖励学分两部分。</w:t>
      </w:r>
    </w:p>
    <w:p>
      <w:pPr>
        <w:pStyle w:val="15"/>
        <w:overflowPunct w:val="0"/>
        <w:adjustRightInd w:val="0"/>
        <w:spacing w:line="360" w:lineRule="auto"/>
        <w:ind w:firstLine="482"/>
        <w:outlineLvl w:val="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eastAsia="zh-CN"/>
        </w:rPr>
        <w:t>（六）</w:t>
      </w:r>
      <w:r>
        <w:rPr>
          <w:rFonts w:hint="eastAsia" w:asciiTheme="minorEastAsia" w:hAnsiTheme="minorEastAsia" w:eastAsiaTheme="minorEastAsia" w:cstheme="minorEastAsia"/>
          <w:b/>
          <w:bCs/>
          <w:sz w:val="24"/>
          <w:szCs w:val="24"/>
        </w:rPr>
        <w:t>质量管理</w:t>
      </w:r>
    </w:p>
    <w:p>
      <w:pPr>
        <w:pStyle w:val="25"/>
        <w:spacing w:line="360" w:lineRule="auto"/>
        <w:ind w:left="0" w:firstLine="480" w:firstLineChars="200"/>
        <w:contextualSpacing/>
        <w:rPr>
          <w:rFonts w:asciiTheme="minorEastAsia" w:hAnsiTheme="minorEastAsia" w:cstheme="minorEastAsia"/>
          <w:sz w:val="24"/>
          <w:szCs w:val="24"/>
        </w:rPr>
      </w:pPr>
      <w:r>
        <w:rPr>
          <w:rFonts w:hint="eastAsia" w:asciiTheme="minorEastAsia" w:hAnsiTheme="minorEastAsia" w:cstheme="minorEastAsia"/>
          <w:sz w:val="24"/>
          <w:szCs w:val="24"/>
        </w:rPr>
        <w:t>1</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rPr>
        <w:t>认真执行教育部《中等职业学校公共基础课程方案》和专业《教学进程安排表》，使用新课标国家规划新教材。若有专业课程变化，做好逐级申请与审核，经过教学副校长批准后才可执行。</w:t>
      </w:r>
    </w:p>
    <w:p>
      <w:pPr>
        <w:pStyle w:val="25"/>
        <w:spacing w:line="360" w:lineRule="auto"/>
        <w:ind w:left="0" w:firstLine="480" w:firstLineChars="200"/>
        <w:contextualSpacing/>
        <w:rPr>
          <w:rFonts w:asciiTheme="minorEastAsia" w:hAnsiTheme="minorEastAsia" w:cstheme="minorEastAsia"/>
          <w:sz w:val="24"/>
          <w:szCs w:val="24"/>
        </w:rPr>
      </w:pPr>
      <w:r>
        <w:rPr>
          <w:rFonts w:hint="eastAsia" w:asciiTheme="minorEastAsia" w:hAnsiTheme="minorEastAsia" w:cstheme="minorEastAsia"/>
          <w:sz w:val="24"/>
          <w:szCs w:val="24"/>
        </w:rPr>
        <w:t>2</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rPr>
        <w:t>做好教学常规工作，从授课计划、备课、上课、作业、实训、评价（考试、考查、补考）等环节出发，提升学生文化基本素质、专业认知和基本专业技能。</w:t>
      </w:r>
    </w:p>
    <w:p>
      <w:pPr>
        <w:pStyle w:val="25"/>
        <w:spacing w:line="360" w:lineRule="auto"/>
        <w:ind w:left="0" w:firstLine="480" w:firstLineChars="200"/>
        <w:contextualSpacing/>
        <w:rPr>
          <w:rFonts w:asciiTheme="minorEastAsia" w:hAnsiTheme="minorEastAsia" w:cstheme="minorEastAsia"/>
          <w:sz w:val="24"/>
          <w:szCs w:val="24"/>
        </w:rPr>
      </w:pPr>
      <w:r>
        <w:rPr>
          <w:rFonts w:hint="eastAsia" w:asciiTheme="minorEastAsia" w:hAnsiTheme="minorEastAsia" w:cstheme="minorEastAsia"/>
          <w:sz w:val="24"/>
          <w:szCs w:val="24"/>
        </w:rPr>
        <w:t>3</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rPr>
        <w:t>以人为本、注重学习过程的管理与评价。学校行政每天巡堂、记录和及时反馈，每学期组织两次学生座谈会进行学情调查，每学期末学生在评教学系统上对各任科老师进行评价，对学生评价时，规定学生平时成绩占60%。</w:t>
      </w:r>
    </w:p>
    <w:p>
      <w:pPr>
        <w:pStyle w:val="25"/>
        <w:spacing w:line="360" w:lineRule="auto"/>
        <w:ind w:left="0" w:firstLine="480" w:firstLineChars="200"/>
        <w:contextualSpacing/>
        <w:rPr>
          <w:rFonts w:asciiTheme="minorEastAsia" w:hAnsiTheme="minorEastAsia" w:cstheme="minorEastAsia"/>
          <w:sz w:val="24"/>
          <w:szCs w:val="24"/>
        </w:rPr>
      </w:pPr>
      <w:r>
        <w:rPr>
          <w:rFonts w:hint="eastAsia" w:asciiTheme="minorEastAsia" w:hAnsiTheme="minorEastAsia" w:cstheme="minorEastAsia"/>
          <w:sz w:val="24"/>
          <w:szCs w:val="24"/>
        </w:rPr>
        <w:t>4</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rPr>
        <w:t>结合专业特点做好考证工作，并把考证课程融入教学进程安排表中，为学生打通升学之路。</w:t>
      </w:r>
    </w:p>
    <w:p>
      <w:pPr>
        <w:pStyle w:val="20"/>
        <w:spacing w:line="360" w:lineRule="auto"/>
        <w:ind w:left="0" w:firstLine="480" w:firstLineChars="200"/>
        <w:contextualSpacing/>
        <w:rPr>
          <w:rFonts w:asciiTheme="minorEastAsia" w:hAnsiTheme="minorEastAsia" w:cstheme="minorEastAsia"/>
          <w:sz w:val="24"/>
          <w:szCs w:val="24"/>
        </w:rPr>
      </w:pPr>
      <w:r>
        <w:rPr>
          <w:rFonts w:hint="eastAsia" w:asciiTheme="minorEastAsia" w:hAnsiTheme="minorEastAsia" w:eastAsiaTheme="minorEastAsia" w:cstheme="minorEastAsia"/>
          <w:kern w:val="2"/>
          <w:sz w:val="24"/>
          <w:szCs w:val="24"/>
          <w:lang w:val="en-US" w:eastAsia="zh-CN" w:bidi="ar-SA"/>
        </w:rPr>
        <w:t>5.加强与行业和企业对接，做好学生岗位实习跟踪管理工作，实习结束后要完成实习报告、实习鉴定等工作。</w:t>
      </w:r>
    </w:p>
    <w:p>
      <w:pPr>
        <w:overflowPunct w:val="0"/>
        <w:adjustRightInd w:val="0"/>
        <w:spacing w:line="360" w:lineRule="auto"/>
        <w:ind w:firstLine="482" w:firstLineChars="200"/>
        <w:outlineLvl w:val="0"/>
        <w:rPr>
          <w:rFonts w:ascii="宋体" w:hAnsi="宋体" w:eastAsia="宋体"/>
          <w:b/>
          <w:sz w:val="24"/>
          <w:szCs w:val="24"/>
        </w:rPr>
      </w:pPr>
      <w:r>
        <w:rPr>
          <w:rFonts w:hint="eastAsia" w:ascii="宋体" w:hAnsi="宋体" w:eastAsia="宋体"/>
          <w:b/>
          <w:sz w:val="24"/>
          <w:szCs w:val="24"/>
        </w:rPr>
        <w:t>九、毕业要求</w:t>
      </w:r>
    </w:p>
    <w:p>
      <w:pPr>
        <w:pStyle w:val="25"/>
        <w:spacing w:line="360" w:lineRule="auto"/>
        <w:ind w:left="0" w:firstLine="480" w:firstLineChars="200"/>
        <w:contextualSpacing/>
        <w:rPr>
          <w:rFonts w:asciiTheme="minorEastAsia" w:hAnsiTheme="minorEastAsia" w:cstheme="minorEastAsia"/>
          <w:sz w:val="24"/>
          <w:szCs w:val="24"/>
        </w:rPr>
      </w:pPr>
      <w:r>
        <w:rPr>
          <w:rFonts w:hint="eastAsia" w:asciiTheme="minorEastAsia" w:hAnsiTheme="minorEastAsia" w:cstheme="minorEastAsia"/>
          <w:sz w:val="24"/>
          <w:szCs w:val="24"/>
        </w:rPr>
        <w:t>通过中职三年学习，学生学完专业人才培养方案所规定的课程，完成学校规定的教学活动，掌握专业的基本知识和基本技能，具备中职基本的文化素养和专业素养。根据《佛山市南海区第一职业技术学校学分制管理办法》，获得不低于17</w:t>
      </w:r>
      <w:r>
        <w:rPr>
          <w:rFonts w:hint="eastAsia" w:asciiTheme="minorEastAsia" w:hAnsiTheme="minorEastAsia" w:cstheme="minorEastAsia"/>
          <w:sz w:val="24"/>
          <w:szCs w:val="24"/>
          <w:lang w:val="en-US" w:eastAsia="zh-CN"/>
        </w:rPr>
        <w:t>4</w:t>
      </w:r>
      <w:r>
        <w:rPr>
          <w:rFonts w:hint="eastAsia" w:asciiTheme="minorEastAsia" w:hAnsiTheme="minorEastAsia" w:cstheme="minorEastAsia"/>
          <w:sz w:val="24"/>
          <w:szCs w:val="24"/>
        </w:rPr>
        <w:t>个学分，在德、智、体、美、劳方面考核合格，准予毕业，发给毕业证书。</w:t>
      </w:r>
    </w:p>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十、附录</w:t>
      </w:r>
    </w:p>
    <w:p>
      <w:pPr>
        <w:overflowPunct w:val="0"/>
        <w:adjustRightInd w:val="0"/>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审批表、变更审批表（见附表）</w:t>
      </w:r>
    </w:p>
    <w:p>
      <w:pPr>
        <w:adjustRightInd w:val="0"/>
        <w:snapToGrid w:val="0"/>
        <w:spacing w:line="360" w:lineRule="auto"/>
        <w:ind w:firstLine="640" w:firstLineChars="200"/>
        <w:jc w:val="center"/>
        <w:outlineLvl w:val="1"/>
        <w:rPr>
          <w:rFonts w:hint="eastAsia" w:ascii="宋体" w:hAnsi="宋体" w:eastAsia="宋体" w:cs="宋体"/>
          <w:szCs w:val="32"/>
        </w:rPr>
      </w:pPr>
      <w:bookmarkStart w:id="35" w:name="_Toc23757_WPSOffice_Level1"/>
      <w:bookmarkStart w:id="36" w:name="_Toc32019_WPSOffice_Level1"/>
      <w:bookmarkStart w:id="37" w:name="_Toc26145_WPSOffice_Level1"/>
    </w:p>
    <w:p>
      <w:pPr>
        <w:adjustRightInd w:val="0"/>
        <w:snapToGrid w:val="0"/>
        <w:spacing w:line="360" w:lineRule="auto"/>
        <w:ind w:firstLine="640" w:firstLineChars="200"/>
        <w:jc w:val="center"/>
        <w:outlineLvl w:val="1"/>
        <w:rPr>
          <w:rFonts w:hint="eastAsia" w:ascii="宋体" w:hAnsi="宋体" w:eastAsia="宋体" w:cs="宋体"/>
          <w:szCs w:val="32"/>
        </w:rPr>
      </w:pPr>
    </w:p>
    <w:p>
      <w:pPr>
        <w:adjustRightInd w:val="0"/>
        <w:snapToGrid w:val="0"/>
        <w:spacing w:line="360" w:lineRule="auto"/>
        <w:ind w:firstLine="640" w:firstLineChars="200"/>
        <w:jc w:val="center"/>
        <w:outlineLvl w:val="1"/>
        <w:rPr>
          <w:rFonts w:hint="eastAsia" w:ascii="宋体" w:hAnsi="宋体" w:eastAsia="宋体" w:cs="宋体"/>
          <w:szCs w:val="32"/>
        </w:rPr>
      </w:pPr>
    </w:p>
    <w:p>
      <w:pPr>
        <w:adjustRightInd w:val="0"/>
        <w:snapToGrid w:val="0"/>
        <w:spacing w:line="360" w:lineRule="auto"/>
        <w:ind w:firstLine="640" w:firstLineChars="200"/>
        <w:jc w:val="center"/>
        <w:outlineLvl w:val="1"/>
        <w:rPr>
          <w:rFonts w:hint="eastAsia" w:ascii="宋体" w:hAnsi="宋体" w:eastAsia="宋体" w:cs="宋体"/>
          <w:szCs w:val="32"/>
        </w:rPr>
      </w:pPr>
    </w:p>
    <w:bookmarkEnd w:id="35"/>
    <w:bookmarkEnd w:id="36"/>
    <w:bookmarkEnd w:id="37"/>
    <w:p>
      <w:pPr>
        <w:spacing w:before="78" w:line="219" w:lineRule="auto"/>
        <w:jc w:val="center"/>
        <w:rPr>
          <w:rFonts w:ascii="宋体" w:hAnsi="宋体" w:eastAsia="宋体" w:cs="宋体"/>
          <w:color w:val="auto"/>
          <w:sz w:val="24"/>
          <w:szCs w:val="24"/>
        </w:rPr>
      </w:pPr>
      <w:bookmarkStart w:id="38" w:name="_GoBack"/>
      <w:r>
        <w:rPr>
          <w:color w:val="auto"/>
        </w:rPr>
        <w:drawing>
          <wp:anchor distT="0" distB="0" distL="114300" distR="114300" simplePos="0" relativeHeight="251662336" behindDoc="1" locked="0" layoutInCell="1" allowOverlap="1">
            <wp:simplePos x="0" y="0"/>
            <wp:positionH relativeFrom="column">
              <wp:posOffset>3215005</wp:posOffset>
            </wp:positionH>
            <wp:positionV relativeFrom="paragraph">
              <wp:posOffset>-219075</wp:posOffset>
            </wp:positionV>
            <wp:extent cx="1835785" cy="1753870"/>
            <wp:effectExtent l="0" t="0" r="8255" b="13970"/>
            <wp:wrapNone/>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6"/>
                    <a:stretch>
                      <a:fillRect/>
                    </a:stretch>
                  </pic:blipFill>
                  <pic:spPr>
                    <a:xfrm>
                      <a:off x="0" y="0"/>
                      <a:ext cx="1835785" cy="1753870"/>
                    </a:xfrm>
                    <a:prstGeom prst="rect">
                      <a:avLst/>
                    </a:prstGeom>
                    <a:noFill/>
                    <a:ln>
                      <a:noFill/>
                    </a:ln>
                  </pic:spPr>
                </pic:pic>
              </a:graphicData>
            </a:graphic>
          </wp:anchor>
        </w:drawing>
      </w:r>
      <w:bookmarkEnd w:id="38"/>
      <w:r>
        <w:rPr>
          <w:rFonts w:hint="eastAsia" w:asciiTheme="minorEastAsia" w:hAnsiTheme="minorEastAsia" w:eastAsiaTheme="minorEastAsia" w:cstheme="minorEastAsia"/>
          <w:sz w:val="28"/>
          <w:szCs w:val="28"/>
        </w:rPr>
        <w:t>物流服务与管理</w:t>
      </w:r>
      <w:r>
        <w:rPr>
          <w:rFonts w:hint="eastAsia" w:ascii="宋体" w:hAnsi="宋体" w:eastAsia="宋体" w:cs="宋体"/>
          <w:sz w:val="28"/>
          <w:szCs w:val="28"/>
        </w:rPr>
        <w:t>专业才培养方案审批表</w:t>
      </w:r>
    </w:p>
    <w:p>
      <w:pPr>
        <w:spacing w:line="149" w:lineRule="exact"/>
        <w:rPr>
          <w:color w:val="auto"/>
        </w:rPr>
      </w:pPr>
    </w:p>
    <w:tbl>
      <w:tblPr>
        <w:tblStyle w:val="42"/>
        <w:tblW w:w="86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1"/>
        <w:gridCol w:w="2705"/>
        <w:gridCol w:w="447"/>
        <w:gridCol w:w="1620"/>
        <w:gridCol w:w="60"/>
        <w:gridCol w:w="135"/>
        <w:gridCol w:w="343"/>
        <w:gridCol w:w="422"/>
        <w:gridCol w:w="681"/>
        <w:gridCol w:w="384"/>
        <w:gridCol w:w="7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1161" w:type="dxa"/>
            <w:noWrap w:val="0"/>
            <w:vAlign w:val="top"/>
          </w:tcPr>
          <w:p>
            <w:pPr>
              <w:spacing w:before="245" w:line="221" w:lineRule="auto"/>
              <w:ind w:left="116"/>
              <w:rPr>
                <w:rFonts w:ascii="宋体" w:hAnsi="宋体" w:eastAsia="宋体" w:cs="宋体"/>
                <w:color w:val="auto"/>
                <w:sz w:val="21"/>
                <w:szCs w:val="21"/>
              </w:rPr>
            </w:pPr>
            <w:r>
              <w:rPr>
                <w:rFonts w:ascii="宋体" w:hAnsi="宋体" w:eastAsia="宋体" w:cs="宋体"/>
                <w:color w:val="auto"/>
                <w:spacing w:val="-2"/>
                <w:sz w:val="21"/>
                <w:szCs w:val="21"/>
              </w:rPr>
              <w:t>专业</w:t>
            </w:r>
            <w:r>
              <w:rPr>
                <w:rFonts w:ascii="宋体" w:hAnsi="宋体" w:eastAsia="宋体" w:cs="宋体"/>
                <w:color w:val="auto"/>
                <w:spacing w:val="-1"/>
                <w:sz w:val="21"/>
                <w:szCs w:val="21"/>
              </w:rPr>
              <w:t>名称</w:t>
            </w:r>
          </w:p>
        </w:tc>
        <w:tc>
          <w:tcPr>
            <w:tcW w:w="7530" w:type="dxa"/>
            <w:gridSpan w:val="10"/>
            <w:noWrap w:val="0"/>
            <w:vAlign w:val="top"/>
          </w:tcPr>
          <w:p>
            <w:pPr>
              <w:keepNext w:val="0"/>
              <w:keepLines w:val="0"/>
              <w:pageBreakBefore w:val="0"/>
              <w:widowControl/>
              <w:kinsoku w:val="0"/>
              <w:wordWrap/>
              <w:overflowPunct/>
              <w:topLinePunct w:val="0"/>
              <w:autoSpaceDE w:val="0"/>
              <w:autoSpaceDN w:val="0"/>
              <w:bidi w:val="0"/>
              <w:adjustRightInd w:val="0"/>
              <w:snapToGrid w:val="0"/>
              <w:spacing w:before="245" w:line="221" w:lineRule="auto"/>
              <w:ind w:left="1791" w:firstLine="1120" w:firstLineChars="400"/>
              <w:jc w:val="both"/>
              <w:textAlignment w:val="baseline"/>
              <w:rPr>
                <w:rFonts w:ascii="宋体" w:hAnsi="宋体" w:eastAsia="宋体" w:cs="宋体"/>
                <w:color w:val="auto"/>
                <w:sz w:val="21"/>
                <w:szCs w:val="21"/>
              </w:rPr>
            </w:pPr>
            <w:r>
              <w:rPr>
                <w:rFonts w:hint="eastAsia" w:asciiTheme="minorEastAsia" w:hAnsiTheme="minorEastAsia" w:eastAsiaTheme="minorEastAsia" w:cstheme="minorEastAsia"/>
                <w:sz w:val="28"/>
                <w:szCs w:val="28"/>
              </w:rPr>
              <w:t>物流服务与管理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3" w:hRule="atLeast"/>
        </w:trPr>
        <w:tc>
          <w:tcPr>
            <w:tcW w:w="1161" w:type="dxa"/>
            <w:vMerge w:val="restart"/>
            <w:tcBorders>
              <w:bottom w:val="nil"/>
            </w:tcBorders>
            <w:noWrap w:val="0"/>
            <w:vAlign w:val="top"/>
          </w:tcPr>
          <w:p>
            <w:pPr>
              <w:spacing w:line="266" w:lineRule="auto"/>
              <w:rPr>
                <w:rFonts w:ascii="Arial"/>
                <w:color w:val="auto"/>
                <w:sz w:val="21"/>
              </w:rPr>
            </w:pPr>
          </w:p>
          <w:p>
            <w:pPr>
              <w:spacing w:line="266" w:lineRule="auto"/>
              <w:rPr>
                <w:rFonts w:ascii="Arial"/>
                <w:color w:val="auto"/>
                <w:sz w:val="21"/>
              </w:rPr>
            </w:pPr>
          </w:p>
          <w:p>
            <w:pPr>
              <w:spacing w:line="267" w:lineRule="auto"/>
              <w:rPr>
                <w:rFonts w:ascii="Arial"/>
                <w:color w:val="auto"/>
                <w:sz w:val="21"/>
              </w:rPr>
            </w:pPr>
          </w:p>
          <w:p>
            <w:pPr>
              <w:spacing w:line="267" w:lineRule="auto"/>
              <w:rPr>
                <w:rFonts w:ascii="Arial"/>
                <w:color w:val="auto"/>
                <w:sz w:val="21"/>
              </w:rPr>
            </w:pPr>
          </w:p>
          <w:p>
            <w:pPr>
              <w:spacing w:line="267" w:lineRule="auto"/>
              <w:rPr>
                <w:rFonts w:ascii="Arial"/>
                <w:color w:val="auto"/>
                <w:sz w:val="21"/>
              </w:rPr>
            </w:pPr>
          </w:p>
          <w:p>
            <w:pPr>
              <w:spacing w:line="267" w:lineRule="auto"/>
              <w:rPr>
                <w:rFonts w:ascii="Arial"/>
                <w:color w:val="auto"/>
                <w:sz w:val="21"/>
              </w:rPr>
            </w:pPr>
          </w:p>
          <w:p>
            <w:pPr>
              <w:spacing w:before="68" w:line="418" w:lineRule="auto"/>
              <w:ind w:left="117" w:right="205" w:hanging="1"/>
              <w:rPr>
                <w:rFonts w:ascii="宋体" w:hAnsi="宋体" w:eastAsia="宋体" w:cs="宋体"/>
                <w:color w:val="auto"/>
                <w:sz w:val="21"/>
                <w:szCs w:val="21"/>
              </w:rPr>
            </w:pPr>
            <w:r>
              <w:rPr>
                <w:rFonts w:ascii="宋体" w:hAnsi="宋体" w:eastAsia="宋体" w:cs="宋体"/>
                <w:color w:val="auto"/>
                <w:spacing w:val="-2"/>
                <w:sz w:val="21"/>
                <w:szCs w:val="21"/>
              </w:rPr>
              <w:t>专业组</w:t>
            </w:r>
            <w:r>
              <w:rPr>
                <w:rFonts w:ascii="宋体" w:hAnsi="宋体" w:eastAsia="宋体" w:cs="宋体"/>
                <w:color w:val="auto"/>
                <w:spacing w:val="-1"/>
                <w:sz w:val="21"/>
                <w:szCs w:val="21"/>
              </w:rPr>
              <w:t>修</w:t>
            </w:r>
            <w:r>
              <w:rPr>
                <w:rFonts w:ascii="宋体" w:hAnsi="宋体" w:eastAsia="宋体" w:cs="宋体"/>
                <w:color w:val="auto"/>
                <w:sz w:val="21"/>
                <w:szCs w:val="21"/>
              </w:rPr>
              <w:t xml:space="preserve"> </w:t>
            </w:r>
            <w:r>
              <w:rPr>
                <w:rFonts w:ascii="宋体" w:hAnsi="宋体" w:eastAsia="宋体" w:cs="宋体"/>
                <w:color w:val="auto"/>
                <w:spacing w:val="-2"/>
                <w:sz w:val="21"/>
                <w:szCs w:val="21"/>
              </w:rPr>
              <w:t>订意</w:t>
            </w:r>
            <w:r>
              <w:rPr>
                <w:rFonts w:ascii="宋体" w:hAnsi="宋体" w:eastAsia="宋体" w:cs="宋体"/>
                <w:color w:val="auto"/>
                <w:spacing w:val="-1"/>
                <w:sz w:val="21"/>
                <w:szCs w:val="21"/>
              </w:rPr>
              <w:t>见</w:t>
            </w:r>
          </w:p>
        </w:tc>
        <w:tc>
          <w:tcPr>
            <w:tcW w:w="7530" w:type="dxa"/>
            <w:gridSpan w:val="10"/>
            <w:tcBorders>
              <w:bottom w:val="nil"/>
            </w:tcBorders>
            <w:noWrap w:val="0"/>
            <w:vAlign w:val="top"/>
          </w:tcPr>
          <w:p>
            <w:pPr>
              <w:spacing w:line="294" w:lineRule="auto"/>
              <w:rPr>
                <w:rFonts w:ascii="Arial"/>
                <w:color w:val="auto"/>
                <w:sz w:val="21"/>
              </w:rPr>
            </w:pPr>
          </w:p>
          <w:p>
            <w:pPr>
              <w:spacing w:line="360" w:lineRule="auto"/>
              <w:ind w:firstLine="360" w:firstLineChars="200"/>
              <w:jc w:val="left"/>
              <w:rPr>
                <w:rFonts w:hint="eastAsia" w:ascii="Calibri" w:hAnsi="Calibri" w:eastAsia="宋体" w:cs="宋体"/>
                <w:color w:val="auto"/>
                <w:sz w:val="18"/>
                <w:szCs w:val="18"/>
              </w:rPr>
            </w:pPr>
            <w:r>
              <w:rPr>
                <w:rFonts w:hint="eastAsia" w:ascii="Calibri" w:hAnsi="Calibri" w:eastAsia="宋体" w:cs="宋体"/>
                <w:color w:val="auto"/>
                <w:sz w:val="18"/>
                <w:szCs w:val="18"/>
              </w:rPr>
              <w:t>依据《关于职业院校专业人才培养方案制订与实施工作的指导意见》教职成﹝2019﹞13号、教育部办公厅关于印发《中等职业学校公共基础课程方案》的通知-教职成厅〔2019〕6号文件精神，根据我校所处区域经济社会发展需求与办学特色，制订本专业人才培养方案。为</w:t>
            </w:r>
            <w:r>
              <w:rPr>
                <w:rFonts w:hint="eastAsia" w:ascii="Calibri" w:hAnsi="Calibri" w:eastAsia="宋体" w:cs="宋体"/>
                <w:color w:val="auto"/>
                <w:sz w:val="18"/>
                <w:szCs w:val="18"/>
                <w:lang w:eastAsia="zh-CN"/>
              </w:rPr>
              <w:t>佛山市物流</w:t>
            </w:r>
            <w:r>
              <w:rPr>
                <w:rFonts w:hint="eastAsia" w:ascii="Calibri" w:hAnsi="Calibri" w:eastAsia="宋体" w:cs="宋体"/>
                <w:color w:val="auto"/>
                <w:sz w:val="18"/>
                <w:szCs w:val="18"/>
              </w:rPr>
              <w:t>企业培养具有一定文化基础知识和一定</w:t>
            </w:r>
            <w:r>
              <w:rPr>
                <w:rFonts w:hint="eastAsia" w:ascii="Calibri" w:hAnsi="Calibri" w:eastAsia="宋体" w:cs="宋体"/>
                <w:color w:val="auto"/>
                <w:sz w:val="18"/>
                <w:szCs w:val="18"/>
                <w:lang w:eastAsia="zh-CN"/>
              </w:rPr>
              <w:t>物流</w:t>
            </w:r>
            <w:r>
              <w:rPr>
                <w:rFonts w:hint="eastAsia" w:ascii="Calibri" w:hAnsi="Calibri" w:eastAsia="宋体" w:cs="宋体"/>
                <w:color w:val="auto"/>
                <w:sz w:val="18"/>
                <w:szCs w:val="18"/>
              </w:rPr>
              <w:t>专业</w:t>
            </w:r>
            <w:r>
              <w:rPr>
                <w:rFonts w:hint="eastAsia" w:ascii="Calibri" w:hAnsi="Calibri" w:eastAsia="宋体" w:cs="宋体"/>
                <w:color w:val="auto"/>
                <w:sz w:val="18"/>
                <w:szCs w:val="18"/>
                <w:lang w:eastAsia="zh-CN"/>
              </w:rPr>
              <w:t>操作</w:t>
            </w:r>
            <w:r>
              <w:rPr>
                <w:rFonts w:hint="eastAsia" w:ascii="Calibri" w:hAnsi="Calibri" w:eastAsia="宋体" w:cs="宋体"/>
                <w:color w:val="auto"/>
                <w:sz w:val="18"/>
                <w:szCs w:val="18"/>
              </w:rPr>
              <w:t>技术的人才。</w:t>
            </w:r>
          </w:p>
          <w:p>
            <w:pPr>
              <w:spacing w:line="360" w:lineRule="auto"/>
              <w:ind w:firstLine="360" w:firstLineChars="200"/>
              <w:jc w:val="left"/>
              <w:rPr>
                <w:rFonts w:hint="eastAsia" w:ascii="Calibri" w:hAnsi="Calibri" w:eastAsia="宋体" w:cs="宋体"/>
                <w:color w:val="auto"/>
                <w:sz w:val="18"/>
                <w:szCs w:val="18"/>
                <w:lang w:val="en-US" w:eastAsia="zh-CN"/>
              </w:rPr>
            </w:pPr>
            <w:r>
              <w:rPr>
                <w:rFonts w:hint="eastAsia" w:ascii="Calibri" w:hAnsi="Calibri" w:eastAsia="宋体" w:cs="宋体"/>
                <w:color w:val="auto"/>
                <w:sz w:val="18"/>
                <w:szCs w:val="18"/>
                <w:lang w:val="en-US" w:eastAsia="zh-CN"/>
              </w:rPr>
              <w:t>为了与2022级三二分段班课程保持一到，职教班人才培养方案与2021级人才培养方案相比，在专业方向课中，开设《仓储与配送实务》，代替2021级的《工厂物料管控》。在专业限选课中增设《VBSE创业基础实训课》、《设计思维创新课》、《ERP企业模拟经营管理沙盘课》、《物流客户服务》、《物流法律法规》五门课程。</w:t>
            </w:r>
          </w:p>
          <w:p>
            <w:pPr>
              <w:spacing w:line="360" w:lineRule="auto"/>
              <w:ind w:firstLine="360" w:firstLineChars="200"/>
              <w:jc w:val="left"/>
              <w:rPr>
                <w:rFonts w:hint="eastAsia" w:ascii="Calibri" w:hAnsi="Calibri" w:eastAsia="宋体" w:cs="宋体"/>
                <w:color w:val="auto"/>
                <w:sz w:val="18"/>
                <w:szCs w:val="18"/>
                <w:lang w:val="en-US" w:eastAsia="zh-CN"/>
              </w:rPr>
            </w:pPr>
          </w:p>
          <w:p>
            <w:pPr>
              <w:spacing w:line="360" w:lineRule="auto"/>
              <w:ind w:firstLine="360" w:firstLineChars="200"/>
              <w:jc w:val="left"/>
              <w:rPr>
                <w:rFonts w:hint="eastAsia" w:ascii="Calibri" w:hAnsi="Calibri" w:eastAsia="宋体" w:cs="宋体"/>
                <w:color w:val="auto"/>
                <w:sz w:val="18"/>
                <w:szCs w:val="18"/>
                <w:lang w:val="en-US" w:eastAsia="zh-CN"/>
              </w:rPr>
            </w:pPr>
          </w:p>
          <w:p>
            <w:pPr>
              <w:spacing w:line="360" w:lineRule="auto"/>
              <w:ind w:firstLine="360" w:firstLineChars="200"/>
              <w:jc w:val="left"/>
              <w:rPr>
                <w:rFonts w:hint="eastAsia" w:ascii="Calibri" w:hAnsi="Calibri" w:eastAsia="宋体" w:cs="宋体"/>
                <w:color w:val="auto"/>
                <w:sz w:val="18"/>
                <w:szCs w:val="18"/>
                <w:lang w:val="en-US" w:eastAsia="zh-CN"/>
              </w:rPr>
            </w:pPr>
          </w:p>
          <w:p>
            <w:pPr>
              <w:spacing w:line="360" w:lineRule="auto"/>
              <w:ind w:firstLine="360" w:firstLineChars="200"/>
              <w:jc w:val="left"/>
              <w:rPr>
                <w:rFonts w:hint="eastAsia" w:ascii="Calibri" w:hAnsi="Calibri" w:eastAsia="宋体" w:cs="宋体"/>
                <w:color w:val="auto"/>
                <w:sz w:val="18"/>
                <w:szCs w:val="18"/>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5" w:hRule="atLeast"/>
        </w:trPr>
        <w:tc>
          <w:tcPr>
            <w:tcW w:w="1161" w:type="dxa"/>
            <w:vMerge w:val="continue"/>
            <w:tcBorders>
              <w:top w:val="nil"/>
            </w:tcBorders>
            <w:noWrap w:val="0"/>
            <w:vAlign w:val="top"/>
          </w:tcPr>
          <w:p>
            <w:pPr>
              <w:rPr>
                <w:rFonts w:ascii="Arial"/>
                <w:color w:val="auto"/>
                <w:sz w:val="21"/>
              </w:rPr>
            </w:pPr>
          </w:p>
        </w:tc>
        <w:tc>
          <w:tcPr>
            <w:tcW w:w="2705" w:type="dxa"/>
            <w:tcBorders>
              <w:top w:val="nil"/>
              <w:right w:val="nil"/>
            </w:tcBorders>
            <w:noWrap w:val="0"/>
            <w:vAlign w:val="top"/>
          </w:tcPr>
          <w:p>
            <w:pPr>
              <w:spacing w:line="248" w:lineRule="auto"/>
              <w:rPr>
                <w:rFonts w:ascii="Arial"/>
                <w:color w:val="auto"/>
                <w:sz w:val="21"/>
              </w:rPr>
            </w:pPr>
          </w:p>
          <w:p>
            <w:pPr>
              <w:spacing w:line="249" w:lineRule="auto"/>
              <w:rPr>
                <w:rFonts w:ascii="Arial"/>
                <w:color w:val="auto"/>
                <w:sz w:val="21"/>
              </w:rPr>
            </w:pPr>
          </w:p>
          <w:p>
            <w:pPr>
              <w:spacing w:line="249" w:lineRule="auto"/>
              <w:rPr>
                <w:rFonts w:ascii="Arial"/>
                <w:color w:val="auto"/>
                <w:sz w:val="21"/>
              </w:rPr>
            </w:pPr>
          </w:p>
          <w:p>
            <w:pPr>
              <w:spacing w:before="68" w:line="221" w:lineRule="auto"/>
              <w:ind w:left="933"/>
              <w:rPr>
                <w:rFonts w:ascii="宋体" w:hAnsi="宋体" w:eastAsia="宋体" w:cs="宋体"/>
                <w:color w:val="auto"/>
                <w:sz w:val="21"/>
                <w:szCs w:val="21"/>
              </w:rPr>
            </w:pPr>
            <w:r>
              <w:rPr>
                <w:rFonts w:ascii="宋体" w:hAnsi="宋体" w:eastAsia="宋体" w:cs="宋体"/>
                <w:color w:val="auto"/>
                <w:spacing w:val="-1"/>
                <w:sz w:val="21"/>
                <w:szCs w:val="21"/>
              </w:rPr>
              <w:t>专业负责人签名</w:t>
            </w:r>
          </w:p>
        </w:tc>
        <w:tc>
          <w:tcPr>
            <w:tcW w:w="2067" w:type="dxa"/>
            <w:gridSpan w:val="2"/>
            <w:tcBorders>
              <w:top w:val="nil"/>
              <w:left w:val="nil"/>
              <w:right w:val="nil"/>
            </w:tcBorders>
            <w:noWrap w:val="0"/>
            <w:vAlign w:val="top"/>
          </w:tcPr>
          <w:p>
            <w:pPr>
              <w:spacing w:line="450" w:lineRule="auto"/>
              <w:rPr>
                <w:rFonts w:ascii="Arial"/>
                <w:color w:val="auto"/>
                <w:sz w:val="21"/>
              </w:rPr>
            </w:pPr>
          </w:p>
          <w:p>
            <w:pPr>
              <w:spacing w:line="690" w:lineRule="exact"/>
              <w:ind w:firstLine="305"/>
              <w:textAlignment w:val="center"/>
              <w:rPr>
                <w:color w:val="auto"/>
              </w:rPr>
            </w:pPr>
            <w:r>
              <w:drawing>
                <wp:anchor distT="0" distB="0" distL="114300" distR="114300" simplePos="0" relativeHeight="251665408" behindDoc="1" locked="0" layoutInCell="1" allowOverlap="1">
                  <wp:simplePos x="0" y="0"/>
                  <wp:positionH relativeFrom="column">
                    <wp:posOffset>78740</wp:posOffset>
                  </wp:positionH>
                  <wp:positionV relativeFrom="paragraph">
                    <wp:posOffset>58420</wp:posOffset>
                  </wp:positionV>
                  <wp:extent cx="820420" cy="424180"/>
                  <wp:effectExtent l="0" t="0" r="2540" b="2540"/>
                  <wp:wrapNone/>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8"/>
                          <a:stretch>
                            <a:fillRect/>
                          </a:stretch>
                        </pic:blipFill>
                        <pic:spPr>
                          <a:xfrm>
                            <a:off x="0" y="0"/>
                            <a:ext cx="820420" cy="424180"/>
                          </a:xfrm>
                          <a:prstGeom prst="rect">
                            <a:avLst/>
                          </a:prstGeom>
                          <a:noFill/>
                          <a:ln>
                            <a:noFill/>
                          </a:ln>
                        </pic:spPr>
                      </pic:pic>
                    </a:graphicData>
                  </a:graphic>
                </wp:anchor>
              </w:drawing>
            </w:r>
          </w:p>
        </w:tc>
        <w:tc>
          <w:tcPr>
            <w:tcW w:w="2758" w:type="dxa"/>
            <w:gridSpan w:val="7"/>
            <w:tcBorders>
              <w:top w:val="nil"/>
              <w:left w:val="nil"/>
            </w:tcBorders>
            <w:noWrap w:val="0"/>
            <w:vAlign w:val="top"/>
          </w:tcPr>
          <w:p>
            <w:pPr>
              <w:spacing w:line="248" w:lineRule="auto"/>
              <w:rPr>
                <w:rFonts w:ascii="Arial"/>
                <w:color w:val="auto"/>
                <w:sz w:val="21"/>
              </w:rPr>
            </w:pPr>
          </w:p>
          <w:p>
            <w:pPr>
              <w:spacing w:line="249" w:lineRule="auto"/>
              <w:rPr>
                <w:rFonts w:ascii="Arial"/>
                <w:color w:val="auto"/>
                <w:sz w:val="21"/>
              </w:rPr>
            </w:pPr>
          </w:p>
          <w:p>
            <w:pPr>
              <w:spacing w:line="249" w:lineRule="auto"/>
              <w:rPr>
                <w:rFonts w:ascii="Arial"/>
                <w:color w:val="auto"/>
                <w:sz w:val="21"/>
              </w:rPr>
            </w:pPr>
          </w:p>
          <w:p>
            <w:pPr>
              <w:spacing w:before="68" w:line="221" w:lineRule="auto"/>
              <w:ind w:left="157"/>
              <w:rPr>
                <w:rFonts w:ascii="宋体" w:hAnsi="宋体" w:eastAsia="宋体" w:cs="宋体"/>
                <w:color w:val="auto"/>
                <w:sz w:val="21"/>
                <w:szCs w:val="21"/>
              </w:rPr>
            </w:pPr>
            <w:r>
              <w:rPr>
                <w:rFonts w:ascii="宋体" w:hAnsi="宋体" w:eastAsia="宋体" w:cs="宋体"/>
                <w:color w:val="auto"/>
                <w:spacing w:val="2"/>
                <w:sz w:val="21"/>
                <w:szCs w:val="21"/>
              </w:rPr>
              <w:t>202</w:t>
            </w:r>
            <w:r>
              <w:rPr>
                <w:rFonts w:hint="eastAsia" w:ascii="宋体" w:hAnsi="宋体" w:eastAsia="宋体" w:cs="宋体"/>
                <w:color w:val="auto"/>
                <w:spacing w:val="2"/>
                <w:sz w:val="21"/>
                <w:szCs w:val="21"/>
                <w:lang w:val="en-US" w:eastAsia="zh-CN"/>
              </w:rPr>
              <w:t>2</w:t>
            </w:r>
            <w:r>
              <w:rPr>
                <w:rFonts w:ascii="宋体" w:hAnsi="宋体" w:eastAsia="宋体" w:cs="宋体"/>
                <w:color w:val="auto"/>
                <w:spacing w:val="2"/>
                <w:sz w:val="21"/>
                <w:szCs w:val="21"/>
              </w:rPr>
              <w:t xml:space="preserve">年   7 月  5  </w:t>
            </w:r>
            <w:r>
              <w:rPr>
                <w:rFonts w:ascii="宋体" w:hAnsi="宋体" w:eastAsia="宋体" w:cs="宋体"/>
                <w:color w:val="auto"/>
                <w:sz w:val="21"/>
                <w:szCs w:val="21"/>
              </w:rPr>
              <w:t xml:space="preserve">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0" w:hRule="atLeast"/>
        </w:trPr>
        <w:tc>
          <w:tcPr>
            <w:tcW w:w="1161" w:type="dxa"/>
            <w:noWrap w:val="0"/>
            <w:vAlign w:val="top"/>
          </w:tcPr>
          <w:p>
            <w:pPr>
              <w:spacing w:line="254" w:lineRule="auto"/>
              <w:rPr>
                <w:rFonts w:ascii="Arial"/>
                <w:color w:val="auto"/>
                <w:sz w:val="21"/>
              </w:rPr>
            </w:pPr>
          </w:p>
          <w:p>
            <w:pPr>
              <w:spacing w:line="254" w:lineRule="auto"/>
              <w:rPr>
                <w:rFonts w:ascii="Arial"/>
                <w:color w:val="auto"/>
                <w:sz w:val="21"/>
              </w:rPr>
            </w:pPr>
          </w:p>
          <w:p>
            <w:pPr>
              <w:spacing w:line="255" w:lineRule="auto"/>
              <w:rPr>
                <w:rFonts w:ascii="Arial"/>
                <w:color w:val="auto"/>
                <w:sz w:val="21"/>
              </w:rPr>
            </w:pPr>
          </w:p>
          <w:p>
            <w:pPr>
              <w:spacing w:line="255" w:lineRule="auto"/>
              <w:rPr>
                <w:rFonts w:ascii="Arial"/>
                <w:color w:val="auto"/>
                <w:sz w:val="21"/>
              </w:rPr>
            </w:pPr>
          </w:p>
          <w:p>
            <w:pPr>
              <w:spacing w:line="255" w:lineRule="auto"/>
              <w:rPr>
                <w:rFonts w:ascii="Arial"/>
                <w:color w:val="auto"/>
                <w:sz w:val="21"/>
              </w:rPr>
            </w:pPr>
          </w:p>
          <w:p>
            <w:pPr>
              <w:spacing w:line="255" w:lineRule="auto"/>
              <w:rPr>
                <w:rFonts w:ascii="Arial"/>
                <w:color w:val="auto"/>
                <w:sz w:val="21"/>
              </w:rPr>
            </w:pPr>
          </w:p>
          <w:p>
            <w:pPr>
              <w:spacing w:before="68" w:line="394" w:lineRule="auto"/>
              <w:ind w:left="121" w:right="205" w:hanging="3"/>
              <w:rPr>
                <w:rFonts w:ascii="宋体" w:hAnsi="宋体" w:eastAsia="宋体" w:cs="宋体"/>
                <w:color w:val="auto"/>
                <w:sz w:val="21"/>
                <w:szCs w:val="21"/>
              </w:rPr>
            </w:pPr>
            <w:r>
              <w:rPr>
                <w:rFonts w:ascii="宋体" w:hAnsi="宋体" w:eastAsia="宋体" w:cs="宋体"/>
                <w:color w:val="auto"/>
                <w:spacing w:val="-3"/>
                <w:sz w:val="21"/>
                <w:szCs w:val="21"/>
              </w:rPr>
              <w:t>教</w:t>
            </w:r>
            <w:r>
              <w:rPr>
                <w:rFonts w:ascii="宋体" w:hAnsi="宋体" w:eastAsia="宋体" w:cs="宋体"/>
                <w:color w:val="auto"/>
                <w:spacing w:val="-2"/>
                <w:sz w:val="21"/>
                <w:szCs w:val="21"/>
              </w:rPr>
              <w:t>学部门</w:t>
            </w:r>
            <w:r>
              <w:rPr>
                <w:rFonts w:ascii="宋体" w:hAnsi="宋体" w:eastAsia="宋体" w:cs="宋体"/>
                <w:color w:val="auto"/>
                <w:sz w:val="21"/>
                <w:szCs w:val="21"/>
              </w:rPr>
              <w:t xml:space="preserve"> </w:t>
            </w:r>
            <w:r>
              <w:rPr>
                <w:rFonts w:ascii="宋体" w:hAnsi="宋体" w:eastAsia="宋体" w:cs="宋体"/>
                <w:color w:val="auto"/>
                <w:spacing w:val="-3"/>
                <w:sz w:val="21"/>
                <w:szCs w:val="21"/>
              </w:rPr>
              <w:t>意见</w:t>
            </w:r>
          </w:p>
        </w:tc>
        <w:tc>
          <w:tcPr>
            <w:tcW w:w="4832" w:type="dxa"/>
            <w:gridSpan w:val="4"/>
            <w:tcBorders>
              <w:right w:val="nil"/>
            </w:tcBorders>
            <w:noWrap w:val="0"/>
            <w:vAlign w:val="top"/>
          </w:tcPr>
          <w:p>
            <w:pPr>
              <w:spacing w:line="258" w:lineRule="auto"/>
              <w:rPr>
                <w:rFonts w:ascii="Arial"/>
                <w:color w:val="auto"/>
                <w:sz w:val="21"/>
              </w:rPr>
            </w:pPr>
          </w:p>
          <w:p>
            <w:pPr>
              <w:spacing w:line="258" w:lineRule="auto"/>
              <w:rPr>
                <w:rFonts w:ascii="Arial"/>
                <w:color w:val="auto"/>
                <w:sz w:val="21"/>
              </w:rPr>
            </w:pPr>
          </w:p>
          <w:p>
            <w:pPr>
              <w:spacing w:line="259" w:lineRule="auto"/>
              <w:jc w:val="center"/>
              <w:rPr>
                <w:rFonts w:hint="default" w:ascii="Arial" w:eastAsia="仿宋_GB2312"/>
                <w:color w:val="auto"/>
                <w:sz w:val="36"/>
                <w:szCs w:val="36"/>
                <w:lang w:val="en-US" w:eastAsia="zh-CN"/>
              </w:rPr>
            </w:pPr>
            <w:r>
              <w:rPr>
                <w:rFonts w:hint="eastAsia" w:ascii="Arial"/>
                <w:color w:val="auto"/>
                <w:sz w:val="36"/>
                <w:szCs w:val="36"/>
                <w:lang w:val="en-US" w:eastAsia="zh-CN"/>
              </w:rPr>
              <w:t>同意</w:t>
            </w:r>
          </w:p>
          <w:p>
            <w:pPr>
              <w:spacing w:line="259" w:lineRule="auto"/>
              <w:rPr>
                <w:rFonts w:ascii="Arial"/>
                <w:color w:val="auto"/>
                <w:sz w:val="21"/>
              </w:rPr>
            </w:pPr>
            <w:r>
              <w:rPr>
                <w:color w:val="auto"/>
              </w:rPr>
              <w:drawing>
                <wp:anchor distT="0" distB="0" distL="114300" distR="114300" simplePos="0" relativeHeight="251664384" behindDoc="1" locked="0" layoutInCell="1" allowOverlap="1">
                  <wp:simplePos x="0" y="0"/>
                  <wp:positionH relativeFrom="column">
                    <wp:posOffset>871220</wp:posOffset>
                  </wp:positionH>
                  <wp:positionV relativeFrom="paragraph">
                    <wp:posOffset>156845</wp:posOffset>
                  </wp:positionV>
                  <wp:extent cx="2219325" cy="1341755"/>
                  <wp:effectExtent l="0" t="0" r="5715" b="14605"/>
                  <wp:wrapNone/>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9"/>
                          <a:stretch>
                            <a:fillRect/>
                          </a:stretch>
                        </pic:blipFill>
                        <pic:spPr>
                          <a:xfrm>
                            <a:off x="0" y="0"/>
                            <a:ext cx="2219325" cy="1341755"/>
                          </a:xfrm>
                          <a:prstGeom prst="rect">
                            <a:avLst/>
                          </a:prstGeom>
                          <a:noFill/>
                          <a:ln>
                            <a:noFill/>
                          </a:ln>
                        </pic:spPr>
                      </pic:pic>
                    </a:graphicData>
                  </a:graphic>
                </wp:anchor>
              </w:drawing>
            </w:r>
          </w:p>
          <w:p>
            <w:pPr>
              <w:spacing w:line="2280" w:lineRule="exact"/>
              <w:ind w:firstLine="1084"/>
              <w:textAlignment w:val="center"/>
              <w:rPr>
                <w:color w:val="auto"/>
              </w:rPr>
            </w:pPr>
          </w:p>
        </w:tc>
        <w:tc>
          <w:tcPr>
            <w:tcW w:w="478" w:type="dxa"/>
            <w:gridSpan w:val="2"/>
            <w:tcBorders>
              <w:left w:val="nil"/>
              <w:right w:val="nil"/>
            </w:tcBorders>
            <w:noWrap w:val="0"/>
            <w:vAlign w:val="top"/>
          </w:tcPr>
          <w:p>
            <w:pPr>
              <w:spacing w:line="248" w:lineRule="auto"/>
              <w:rPr>
                <w:rFonts w:ascii="Arial"/>
                <w:color w:val="auto"/>
                <w:sz w:val="21"/>
              </w:rPr>
            </w:pPr>
          </w:p>
          <w:p>
            <w:pPr>
              <w:spacing w:line="248" w:lineRule="auto"/>
              <w:rPr>
                <w:rFonts w:ascii="Arial"/>
                <w:color w:val="auto"/>
                <w:sz w:val="21"/>
              </w:rPr>
            </w:pPr>
          </w:p>
          <w:p>
            <w:pPr>
              <w:spacing w:line="249" w:lineRule="auto"/>
              <w:rPr>
                <w:rFonts w:ascii="Arial"/>
                <w:color w:val="auto"/>
                <w:sz w:val="21"/>
              </w:rPr>
            </w:pPr>
          </w:p>
          <w:p>
            <w:pPr>
              <w:spacing w:line="249" w:lineRule="auto"/>
              <w:rPr>
                <w:rFonts w:ascii="Arial"/>
                <w:color w:val="auto"/>
                <w:sz w:val="21"/>
              </w:rPr>
            </w:pPr>
          </w:p>
          <w:p>
            <w:pPr>
              <w:spacing w:line="249" w:lineRule="auto"/>
              <w:rPr>
                <w:rFonts w:ascii="Arial"/>
                <w:color w:val="auto"/>
                <w:sz w:val="21"/>
              </w:rPr>
            </w:pPr>
          </w:p>
          <w:p>
            <w:pPr>
              <w:spacing w:line="249" w:lineRule="auto"/>
              <w:rPr>
                <w:rFonts w:ascii="Arial"/>
                <w:color w:val="auto"/>
                <w:sz w:val="21"/>
              </w:rPr>
            </w:pPr>
          </w:p>
          <w:p>
            <w:pPr>
              <w:spacing w:before="68" w:line="184" w:lineRule="auto"/>
              <w:ind w:left="13"/>
              <w:rPr>
                <w:rFonts w:hint="eastAsia" w:ascii="宋体" w:hAnsi="宋体" w:eastAsia="宋体" w:cs="宋体"/>
                <w:color w:val="auto"/>
                <w:sz w:val="21"/>
                <w:szCs w:val="21"/>
                <w:lang w:val="en-US" w:eastAsia="zh-CN"/>
              </w:rPr>
            </w:pPr>
            <w:r>
              <w:rPr>
                <w:rFonts w:ascii="宋体" w:hAnsi="宋体" w:eastAsia="宋体" w:cs="宋体"/>
                <w:color w:val="auto"/>
                <w:spacing w:val="-4"/>
                <w:sz w:val="21"/>
                <w:szCs w:val="21"/>
              </w:rPr>
              <w:t>2</w:t>
            </w:r>
            <w:r>
              <w:rPr>
                <w:rFonts w:ascii="宋体" w:hAnsi="宋体" w:eastAsia="宋体" w:cs="宋体"/>
                <w:color w:val="auto"/>
                <w:spacing w:val="-3"/>
                <w:sz w:val="21"/>
                <w:szCs w:val="21"/>
              </w:rPr>
              <w:t>02</w:t>
            </w:r>
            <w:r>
              <w:rPr>
                <w:rFonts w:hint="eastAsia" w:ascii="宋体" w:hAnsi="宋体" w:eastAsia="宋体" w:cs="宋体"/>
                <w:color w:val="auto"/>
                <w:spacing w:val="-3"/>
                <w:sz w:val="21"/>
                <w:szCs w:val="21"/>
                <w:lang w:val="en-US" w:eastAsia="zh-CN"/>
              </w:rPr>
              <w:t>2</w:t>
            </w:r>
          </w:p>
          <w:p>
            <w:pPr>
              <w:spacing w:line="279" w:lineRule="auto"/>
              <w:rPr>
                <w:rFonts w:ascii="Arial"/>
                <w:color w:val="auto"/>
                <w:sz w:val="21"/>
              </w:rPr>
            </w:pPr>
          </w:p>
          <w:p>
            <w:pPr>
              <w:spacing w:line="280" w:lineRule="auto"/>
              <w:rPr>
                <w:rFonts w:ascii="Arial"/>
                <w:color w:val="auto"/>
                <w:sz w:val="21"/>
              </w:rPr>
            </w:pPr>
          </w:p>
          <w:p>
            <w:pPr>
              <w:spacing w:line="280" w:lineRule="auto"/>
              <w:rPr>
                <w:rFonts w:ascii="Arial"/>
                <w:color w:val="auto"/>
                <w:sz w:val="21"/>
              </w:rPr>
            </w:pPr>
          </w:p>
          <w:p>
            <w:pPr>
              <w:spacing w:line="280" w:lineRule="auto"/>
              <w:rPr>
                <w:rFonts w:ascii="Arial"/>
                <w:color w:val="auto"/>
                <w:sz w:val="21"/>
              </w:rPr>
            </w:pPr>
          </w:p>
          <w:p>
            <w:pPr>
              <w:spacing w:before="68" w:line="184" w:lineRule="auto"/>
              <w:ind w:left="11"/>
              <w:rPr>
                <w:rFonts w:hint="eastAsia" w:ascii="宋体" w:hAnsi="宋体" w:eastAsia="宋体" w:cs="宋体"/>
                <w:color w:val="auto"/>
                <w:sz w:val="21"/>
                <w:szCs w:val="21"/>
                <w:lang w:eastAsia="zh-CN"/>
              </w:rPr>
            </w:pPr>
            <w:r>
              <w:rPr>
                <w:rFonts w:ascii="宋体" w:hAnsi="宋体" w:eastAsia="宋体" w:cs="宋体"/>
                <w:color w:val="auto"/>
                <w:spacing w:val="-2"/>
                <w:sz w:val="21"/>
                <w:szCs w:val="21"/>
              </w:rPr>
              <w:t>202</w:t>
            </w:r>
            <w:r>
              <w:rPr>
                <w:rFonts w:hint="eastAsia" w:ascii="宋体" w:hAnsi="宋体" w:eastAsia="宋体" w:cs="宋体"/>
                <w:color w:val="auto"/>
                <w:spacing w:val="-1"/>
                <w:sz w:val="21"/>
                <w:szCs w:val="21"/>
                <w:lang w:val="en-US" w:eastAsia="zh-CN"/>
              </w:rPr>
              <w:t>2</w:t>
            </w:r>
          </w:p>
        </w:tc>
        <w:tc>
          <w:tcPr>
            <w:tcW w:w="422" w:type="dxa"/>
            <w:tcBorders>
              <w:left w:val="nil"/>
              <w:right w:val="nil"/>
            </w:tcBorders>
            <w:noWrap w:val="0"/>
            <w:vAlign w:val="top"/>
          </w:tcPr>
          <w:p>
            <w:pPr>
              <w:spacing w:line="242"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spacing w:before="68" w:line="221" w:lineRule="auto"/>
              <w:ind w:left="57"/>
              <w:rPr>
                <w:rFonts w:ascii="宋体" w:hAnsi="宋体" w:eastAsia="宋体" w:cs="宋体"/>
                <w:color w:val="auto"/>
                <w:sz w:val="21"/>
                <w:szCs w:val="21"/>
              </w:rPr>
            </w:pPr>
            <w:r>
              <w:rPr>
                <w:rFonts w:ascii="宋体" w:hAnsi="宋体" w:eastAsia="宋体" w:cs="宋体"/>
                <w:color w:val="auto"/>
                <w:sz w:val="21"/>
                <w:szCs w:val="21"/>
              </w:rPr>
              <w:t>年</w:t>
            </w:r>
          </w:p>
          <w:p>
            <w:pPr>
              <w:spacing w:line="269" w:lineRule="auto"/>
              <w:rPr>
                <w:rFonts w:ascii="Arial"/>
                <w:color w:val="auto"/>
                <w:sz w:val="21"/>
              </w:rPr>
            </w:pPr>
          </w:p>
          <w:p>
            <w:pPr>
              <w:spacing w:line="269" w:lineRule="auto"/>
              <w:rPr>
                <w:rFonts w:ascii="Arial"/>
                <w:color w:val="auto"/>
                <w:sz w:val="21"/>
              </w:rPr>
            </w:pPr>
          </w:p>
          <w:p>
            <w:pPr>
              <w:spacing w:line="269" w:lineRule="auto"/>
              <w:rPr>
                <w:rFonts w:ascii="Arial"/>
                <w:color w:val="auto"/>
                <w:sz w:val="21"/>
              </w:rPr>
            </w:pPr>
          </w:p>
          <w:p>
            <w:pPr>
              <w:spacing w:line="270" w:lineRule="auto"/>
              <w:rPr>
                <w:rFonts w:ascii="Arial"/>
                <w:color w:val="auto"/>
                <w:sz w:val="21"/>
              </w:rPr>
            </w:pPr>
          </w:p>
          <w:p>
            <w:pPr>
              <w:spacing w:before="68" w:line="221" w:lineRule="auto"/>
              <w:ind w:left="57"/>
              <w:rPr>
                <w:rFonts w:ascii="宋体" w:hAnsi="宋体" w:eastAsia="宋体" w:cs="宋体"/>
                <w:color w:val="auto"/>
                <w:sz w:val="21"/>
                <w:szCs w:val="21"/>
              </w:rPr>
            </w:pPr>
            <w:r>
              <w:rPr>
                <w:rFonts w:ascii="宋体" w:hAnsi="宋体" w:eastAsia="宋体" w:cs="宋体"/>
                <w:color w:val="auto"/>
                <w:sz w:val="21"/>
                <w:szCs w:val="21"/>
              </w:rPr>
              <w:t>年</w:t>
            </w:r>
          </w:p>
        </w:tc>
        <w:tc>
          <w:tcPr>
            <w:tcW w:w="681" w:type="dxa"/>
            <w:tcBorders>
              <w:left w:val="nil"/>
              <w:right w:val="nil"/>
            </w:tcBorders>
            <w:noWrap w:val="0"/>
            <w:vAlign w:val="top"/>
          </w:tcPr>
          <w:p>
            <w:pPr>
              <w:spacing w:line="242"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spacing w:before="68" w:line="221" w:lineRule="auto"/>
              <w:ind w:left="165"/>
              <w:rPr>
                <w:rFonts w:ascii="宋体" w:hAnsi="宋体" w:eastAsia="宋体" w:cs="宋体"/>
                <w:color w:val="auto"/>
                <w:sz w:val="21"/>
                <w:szCs w:val="21"/>
              </w:rPr>
            </w:pPr>
            <w:r>
              <w:rPr>
                <w:rFonts w:ascii="宋体" w:hAnsi="宋体" w:eastAsia="宋体" w:cs="宋体"/>
                <w:color w:val="auto"/>
                <w:spacing w:val="-1"/>
                <w:sz w:val="21"/>
                <w:szCs w:val="21"/>
              </w:rPr>
              <w:t xml:space="preserve">7 </w:t>
            </w:r>
            <w:r>
              <w:rPr>
                <w:rFonts w:ascii="宋体" w:hAnsi="宋体" w:eastAsia="宋体" w:cs="宋体"/>
                <w:color w:val="auto"/>
                <w:sz w:val="21"/>
                <w:szCs w:val="21"/>
              </w:rPr>
              <w:t>月</w:t>
            </w:r>
          </w:p>
          <w:p>
            <w:pPr>
              <w:spacing w:line="269" w:lineRule="auto"/>
              <w:rPr>
                <w:rFonts w:ascii="Arial"/>
                <w:color w:val="auto"/>
                <w:sz w:val="21"/>
              </w:rPr>
            </w:pPr>
          </w:p>
          <w:p>
            <w:pPr>
              <w:spacing w:line="269" w:lineRule="auto"/>
              <w:rPr>
                <w:rFonts w:ascii="Arial"/>
                <w:color w:val="auto"/>
                <w:sz w:val="21"/>
              </w:rPr>
            </w:pPr>
          </w:p>
          <w:p>
            <w:pPr>
              <w:spacing w:line="269" w:lineRule="auto"/>
              <w:rPr>
                <w:rFonts w:ascii="Arial"/>
                <w:color w:val="auto"/>
                <w:sz w:val="21"/>
              </w:rPr>
            </w:pPr>
          </w:p>
          <w:p>
            <w:pPr>
              <w:spacing w:line="270" w:lineRule="auto"/>
              <w:rPr>
                <w:rFonts w:ascii="Arial"/>
                <w:color w:val="auto"/>
                <w:sz w:val="21"/>
              </w:rPr>
            </w:pPr>
          </w:p>
          <w:p>
            <w:pPr>
              <w:spacing w:before="68" w:line="221" w:lineRule="auto"/>
              <w:ind w:left="165"/>
              <w:rPr>
                <w:rFonts w:ascii="宋体" w:hAnsi="宋体" w:eastAsia="宋体" w:cs="宋体"/>
                <w:color w:val="auto"/>
                <w:sz w:val="21"/>
                <w:szCs w:val="21"/>
              </w:rPr>
            </w:pPr>
            <w:r>
              <w:rPr>
                <w:rFonts w:ascii="宋体" w:hAnsi="宋体" w:eastAsia="宋体" w:cs="宋体"/>
                <w:color w:val="auto"/>
                <w:spacing w:val="-1"/>
                <w:sz w:val="21"/>
                <w:szCs w:val="21"/>
              </w:rPr>
              <w:t xml:space="preserve">7 </w:t>
            </w:r>
            <w:r>
              <w:rPr>
                <w:rFonts w:ascii="宋体" w:hAnsi="宋体" w:eastAsia="宋体" w:cs="宋体"/>
                <w:color w:val="auto"/>
                <w:sz w:val="21"/>
                <w:szCs w:val="21"/>
              </w:rPr>
              <w:t>月</w:t>
            </w:r>
          </w:p>
        </w:tc>
        <w:tc>
          <w:tcPr>
            <w:tcW w:w="384" w:type="dxa"/>
            <w:tcBorders>
              <w:left w:val="nil"/>
              <w:right w:val="nil"/>
            </w:tcBorders>
            <w:noWrap w:val="0"/>
            <w:vAlign w:val="top"/>
          </w:tcPr>
          <w:p>
            <w:pPr>
              <w:spacing w:line="249" w:lineRule="auto"/>
              <w:rPr>
                <w:rFonts w:ascii="Arial"/>
                <w:color w:val="auto"/>
                <w:sz w:val="21"/>
              </w:rPr>
            </w:pPr>
          </w:p>
          <w:p>
            <w:pPr>
              <w:spacing w:line="249" w:lineRule="auto"/>
              <w:rPr>
                <w:rFonts w:ascii="Arial"/>
                <w:color w:val="auto"/>
                <w:sz w:val="21"/>
              </w:rPr>
            </w:pPr>
          </w:p>
          <w:p>
            <w:pPr>
              <w:spacing w:line="249" w:lineRule="auto"/>
              <w:rPr>
                <w:rFonts w:ascii="Arial"/>
                <w:color w:val="auto"/>
                <w:sz w:val="21"/>
              </w:rPr>
            </w:pPr>
          </w:p>
          <w:p>
            <w:pPr>
              <w:spacing w:line="249" w:lineRule="auto"/>
              <w:rPr>
                <w:rFonts w:ascii="Arial"/>
                <w:color w:val="auto"/>
                <w:sz w:val="21"/>
              </w:rPr>
            </w:pPr>
          </w:p>
          <w:p>
            <w:pPr>
              <w:spacing w:line="249" w:lineRule="auto"/>
              <w:rPr>
                <w:rFonts w:ascii="Arial"/>
                <w:color w:val="auto"/>
                <w:sz w:val="21"/>
              </w:rPr>
            </w:pPr>
          </w:p>
          <w:p>
            <w:pPr>
              <w:spacing w:line="249" w:lineRule="auto"/>
              <w:rPr>
                <w:rFonts w:ascii="Arial"/>
                <w:color w:val="auto"/>
                <w:sz w:val="21"/>
              </w:rPr>
            </w:pPr>
          </w:p>
          <w:p>
            <w:pPr>
              <w:spacing w:before="68" w:line="182" w:lineRule="auto"/>
              <w:ind w:left="112"/>
              <w:rPr>
                <w:rFonts w:ascii="宋体" w:hAnsi="宋体" w:eastAsia="宋体" w:cs="宋体"/>
                <w:color w:val="auto"/>
                <w:sz w:val="21"/>
                <w:szCs w:val="21"/>
              </w:rPr>
            </w:pPr>
            <w:r>
              <w:rPr>
                <w:rFonts w:ascii="宋体" w:hAnsi="宋体" w:eastAsia="宋体" w:cs="宋体"/>
                <w:color w:val="auto"/>
                <w:sz w:val="21"/>
                <w:szCs w:val="21"/>
              </w:rPr>
              <w:t>5</w:t>
            </w:r>
          </w:p>
          <w:p>
            <w:pPr>
              <w:spacing w:line="280" w:lineRule="auto"/>
              <w:rPr>
                <w:rFonts w:ascii="Arial"/>
                <w:color w:val="auto"/>
                <w:sz w:val="21"/>
              </w:rPr>
            </w:pPr>
          </w:p>
          <w:p>
            <w:pPr>
              <w:spacing w:line="280" w:lineRule="auto"/>
              <w:rPr>
                <w:rFonts w:ascii="Arial"/>
                <w:color w:val="auto"/>
                <w:sz w:val="21"/>
              </w:rPr>
            </w:pPr>
          </w:p>
          <w:p>
            <w:pPr>
              <w:spacing w:line="280" w:lineRule="auto"/>
              <w:rPr>
                <w:rFonts w:ascii="Arial"/>
                <w:color w:val="auto"/>
                <w:sz w:val="21"/>
              </w:rPr>
            </w:pPr>
          </w:p>
          <w:p>
            <w:pPr>
              <w:spacing w:line="281" w:lineRule="auto"/>
              <w:rPr>
                <w:rFonts w:ascii="Arial"/>
                <w:color w:val="auto"/>
                <w:sz w:val="21"/>
              </w:rPr>
            </w:pPr>
          </w:p>
          <w:p>
            <w:pPr>
              <w:spacing w:before="69" w:line="182" w:lineRule="auto"/>
              <w:ind w:left="115"/>
              <w:rPr>
                <w:rFonts w:ascii="宋体" w:hAnsi="宋体" w:eastAsia="宋体" w:cs="宋体"/>
                <w:color w:val="auto"/>
                <w:sz w:val="21"/>
                <w:szCs w:val="21"/>
              </w:rPr>
            </w:pPr>
            <w:r>
              <w:rPr>
                <w:rFonts w:ascii="宋体" w:hAnsi="宋体" w:eastAsia="宋体" w:cs="宋体"/>
                <w:color w:val="auto"/>
                <w:sz w:val="21"/>
                <w:szCs w:val="21"/>
              </w:rPr>
              <w:t>5</w:t>
            </w:r>
          </w:p>
        </w:tc>
        <w:tc>
          <w:tcPr>
            <w:tcW w:w="733" w:type="dxa"/>
            <w:tcBorders>
              <w:left w:val="nil"/>
            </w:tcBorders>
            <w:noWrap w:val="0"/>
            <w:vAlign w:val="top"/>
          </w:tcPr>
          <w:p>
            <w:pPr>
              <w:spacing w:line="242"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spacing w:before="68" w:line="226" w:lineRule="auto"/>
              <w:ind w:left="180"/>
              <w:rPr>
                <w:rFonts w:ascii="宋体" w:hAnsi="宋体" w:eastAsia="宋体" w:cs="宋体"/>
                <w:color w:val="auto"/>
                <w:sz w:val="21"/>
                <w:szCs w:val="21"/>
              </w:rPr>
            </w:pPr>
            <w:r>
              <w:rPr>
                <w:rFonts w:ascii="宋体" w:hAnsi="宋体" w:eastAsia="宋体" w:cs="宋体"/>
                <w:color w:val="auto"/>
                <w:sz w:val="21"/>
                <w:szCs w:val="21"/>
              </w:rPr>
              <w:t>日</w:t>
            </w:r>
          </w:p>
          <w:p>
            <w:pPr>
              <w:spacing w:line="268" w:lineRule="auto"/>
              <w:rPr>
                <w:rFonts w:ascii="Arial"/>
                <w:color w:val="auto"/>
                <w:sz w:val="21"/>
              </w:rPr>
            </w:pPr>
          </w:p>
          <w:p>
            <w:pPr>
              <w:spacing w:line="268" w:lineRule="auto"/>
              <w:rPr>
                <w:rFonts w:ascii="Arial"/>
                <w:color w:val="auto"/>
                <w:sz w:val="21"/>
              </w:rPr>
            </w:pPr>
          </w:p>
          <w:p>
            <w:pPr>
              <w:spacing w:line="268" w:lineRule="auto"/>
              <w:rPr>
                <w:rFonts w:ascii="Arial"/>
                <w:color w:val="auto"/>
                <w:sz w:val="21"/>
              </w:rPr>
            </w:pPr>
          </w:p>
          <w:p>
            <w:pPr>
              <w:spacing w:line="268" w:lineRule="auto"/>
              <w:rPr>
                <w:rFonts w:ascii="Arial"/>
                <w:color w:val="auto"/>
                <w:sz w:val="21"/>
              </w:rPr>
            </w:pPr>
          </w:p>
          <w:p>
            <w:pPr>
              <w:spacing w:before="68" w:line="226" w:lineRule="auto"/>
              <w:ind w:left="183"/>
              <w:rPr>
                <w:rFonts w:ascii="宋体" w:hAnsi="宋体" w:eastAsia="宋体" w:cs="宋体"/>
                <w:color w:val="auto"/>
                <w:sz w:val="21"/>
                <w:szCs w:val="21"/>
              </w:rPr>
            </w:pPr>
            <w:r>
              <w:rPr>
                <w:rFonts w:ascii="宋体" w:hAnsi="宋体" w:eastAsia="宋体" w:cs="宋体"/>
                <w:color w:val="auto"/>
                <w:sz w:val="21"/>
                <w:szCs w:val="21"/>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9" w:hRule="atLeast"/>
        </w:trPr>
        <w:tc>
          <w:tcPr>
            <w:tcW w:w="1161" w:type="dxa"/>
            <w:noWrap w:val="0"/>
            <w:vAlign w:val="top"/>
          </w:tcPr>
          <w:p>
            <w:pPr>
              <w:spacing w:line="263" w:lineRule="auto"/>
              <w:rPr>
                <w:rFonts w:ascii="Arial"/>
                <w:color w:val="auto"/>
                <w:sz w:val="21"/>
              </w:rPr>
            </w:pPr>
          </w:p>
          <w:p>
            <w:pPr>
              <w:spacing w:line="264" w:lineRule="auto"/>
              <w:rPr>
                <w:rFonts w:ascii="Arial"/>
                <w:color w:val="auto"/>
                <w:sz w:val="21"/>
              </w:rPr>
            </w:pPr>
          </w:p>
          <w:p>
            <w:pPr>
              <w:spacing w:line="264" w:lineRule="auto"/>
              <w:rPr>
                <w:rFonts w:ascii="Arial"/>
                <w:color w:val="auto"/>
                <w:sz w:val="21"/>
              </w:rPr>
            </w:pPr>
          </w:p>
          <w:p>
            <w:pPr>
              <w:spacing w:before="68" w:line="418" w:lineRule="auto"/>
              <w:ind w:left="122" w:right="205" w:hanging="2"/>
              <w:rPr>
                <w:rFonts w:ascii="宋体" w:hAnsi="宋体" w:eastAsia="宋体" w:cs="宋体"/>
                <w:color w:val="auto"/>
                <w:sz w:val="21"/>
                <w:szCs w:val="21"/>
              </w:rPr>
            </w:pPr>
            <w:r>
              <w:rPr>
                <w:rFonts w:ascii="宋体" w:hAnsi="宋体" w:eastAsia="宋体" w:cs="宋体"/>
                <w:color w:val="auto"/>
                <w:spacing w:val="-4"/>
                <w:sz w:val="21"/>
                <w:szCs w:val="21"/>
              </w:rPr>
              <w:t>学</w:t>
            </w:r>
            <w:r>
              <w:rPr>
                <w:rFonts w:ascii="宋体" w:hAnsi="宋体" w:eastAsia="宋体" w:cs="宋体"/>
                <w:color w:val="auto"/>
                <w:spacing w:val="-2"/>
                <w:sz w:val="21"/>
                <w:szCs w:val="21"/>
              </w:rPr>
              <w:t>校党委</w:t>
            </w:r>
            <w:r>
              <w:rPr>
                <w:rFonts w:ascii="宋体" w:hAnsi="宋体" w:eastAsia="宋体" w:cs="宋体"/>
                <w:color w:val="auto"/>
                <w:sz w:val="21"/>
                <w:szCs w:val="21"/>
              </w:rPr>
              <w:t xml:space="preserve"> </w:t>
            </w:r>
            <w:r>
              <w:rPr>
                <w:rFonts w:ascii="宋体" w:hAnsi="宋体" w:eastAsia="宋体" w:cs="宋体"/>
                <w:color w:val="auto"/>
                <w:spacing w:val="-4"/>
                <w:sz w:val="21"/>
                <w:szCs w:val="21"/>
              </w:rPr>
              <w:t>审</w:t>
            </w:r>
            <w:r>
              <w:rPr>
                <w:rFonts w:ascii="宋体" w:hAnsi="宋体" w:eastAsia="宋体" w:cs="宋体"/>
                <w:color w:val="auto"/>
                <w:spacing w:val="-3"/>
                <w:sz w:val="21"/>
                <w:szCs w:val="21"/>
              </w:rPr>
              <w:t>批意见</w:t>
            </w:r>
          </w:p>
        </w:tc>
        <w:tc>
          <w:tcPr>
            <w:tcW w:w="3152" w:type="dxa"/>
            <w:gridSpan w:val="2"/>
            <w:tcBorders>
              <w:right w:val="nil"/>
            </w:tcBorders>
            <w:noWrap w:val="0"/>
            <w:vAlign w:val="top"/>
          </w:tcPr>
          <w:p>
            <w:pPr>
              <w:spacing w:line="244" w:lineRule="auto"/>
              <w:rPr>
                <w:rFonts w:ascii="Arial"/>
                <w:color w:val="auto"/>
                <w:sz w:val="21"/>
              </w:rPr>
            </w:pPr>
          </w:p>
          <w:p>
            <w:pPr>
              <w:spacing w:line="244" w:lineRule="auto"/>
              <w:rPr>
                <w:rFonts w:ascii="Arial"/>
                <w:color w:val="auto"/>
                <w:sz w:val="21"/>
              </w:rPr>
            </w:pPr>
          </w:p>
          <w:p>
            <w:pPr>
              <w:spacing w:line="244" w:lineRule="auto"/>
              <w:rPr>
                <w:rFonts w:ascii="Arial"/>
                <w:color w:val="auto"/>
                <w:sz w:val="21"/>
              </w:rPr>
            </w:pPr>
          </w:p>
          <w:p>
            <w:pPr>
              <w:spacing w:line="244" w:lineRule="auto"/>
              <w:rPr>
                <w:rFonts w:ascii="Arial"/>
                <w:color w:val="auto"/>
                <w:sz w:val="21"/>
              </w:rPr>
            </w:pPr>
          </w:p>
          <w:p>
            <w:pPr>
              <w:spacing w:line="244" w:lineRule="auto"/>
              <w:rPr>
                <w:rFonts w:ascii="Arial"/>
                <w:color w:val="auto"/>
                <w:sz w:val="21"/>
              </w:rPr>
            </w:pPr>
          </w:p>
          <w:p>
            <w:pPr>
              <w:spacing w:line="245" w:lineRule="auto"/>
              <w:rPr>
                <w:rFonts w:ascii="Arial"/>
                <w:color w:val="auto"/>
                <w:sz w:val="21"/>
              </w:rPr>
            </w:pPr>
          </w:p>
          <w:p>
            <w:pPr>
              <w:spacing w:before="65" w:line="229" w:lineRule="auto"/>
              <w:jc w:val="right"/>
              <w:rPr>
                <w:rFonts w:ascii="宋体" w:hAnsi="宋体" w:eastAsia="宋体" w:cs="宋体"/>
                <w:color w:val="auto"/>
                <w:sz w:val="20"/>
                <w:szCs w:val="20"/>
              </w:rPr>
            </w:pPr>
            <w:r>
              <w:rPr>
                <w:rFonts w:ascii="宋体" w:hAnsi="宋体" w:eastAsia="宋体" w:cs="宋体"/>
                <w:color w:val="auto"/>
                <w:spacing w:val="-5"/>
                <w:sz w:val="20"/>
                <w:szCs w:val="20"/>
              </w:rPr>
              <w:t>书记、校长签名：</w:t>
            </w:r>
          </w:p>
        </w:tc>
        <w:tc>
          <w:tcPr>
            <w:tcW w:w="1815" w:type="dxa"/>
            <w:gridSpan w:val="3"/>
            <w:tcBorders>
              <w:left w:val="nil"/>
              <w:right w:val="nil"/>
            </w:tcBorders>
            <w:noWrap w:val="0"/>
            <w:vAlign w:val="top"/>
          </w:tcPr>
          <w:p>
            <w:pPr>
              <w:spacing w:line="273" w:lineRule="auto"/>
              <w:rPr>
                <w:rFonts w:ascii="Arial"/>
                <w:color w:val="auto"/>
                <w:sz w:val="21"/>
              </w:rPr>
            </w:pPr>
          </w:p>
          <w:p>
            <w:pPr>
              <w:spacing w:line="273" w:lineRule="auto"/>
              <w:rPr>
                <w:rFonts w:ascii="Arial"/>
                <w:color w:val="auto"/>
                <w:sz w:val="21"/>
              </w:rPr>
            </w:pPr>
          </w:p>
          <w:p>
            <w:pPr>
              <w:spacing w:line="273" w:lineRule="auto"/>
              <w:rPr>
                <w:rFonts w:ascii="Arial"/>
                <w:color w:val="auto"/>
                <w:sz w:val="21"/>
              </w:rPr>
            </w:pPr>
          </w:p>
          <w:p>
            <w:pPr>
              <w:spacing w:line="273" w:lineRule="auto"/>
              <w:rPr>
                <w:rFonts w:ascii="Arial"/>
                <w:color w:val="auto"/>
                <w:sz w:val="21"/>
              </w:rPr>
            </w:pPr>
          </w:p>
          <w:p>
            <w:pPr>
              <w:spacing w:line="781" w:lineRule="exact"/>
              <w:ind w:firstLine="44"/>
              <w:textAlignment w:val="center"/>
              <w:rPr>
                <w:color w:val="auto"/>
              </w:rPr>
            </w:pPr>
            <w:r>
              <w:rPr>
                <w:color w:val="auto"/>
              </w:rPr>
              <w:drawing>
                <wp:inline distT="0" distB="0" distL="114300" distR="114300">
                  <wp:extent cx="1070610" cy="495300"/>
                  <wp:effectExtent l="0" t="0" r="11430" b="7620"/>
                  <wp:docPr id="5" name="图片 2"/>
                  <wp:cNvGraphicFramePr/>
                  <a:graphic xmlns:a="http://schemas.openxmlformats.org/drawingml/2006/main">
                    <a:graphicData uri="http://schemas.openxmlformats.org/drawingml/2006/picture">
                      <pic:pic xmlns:pic="http://schemas.openxmlformats.org/drawingml/2006/picture">
                        <pic:nvPicPr>
                          <pic:cNvPr id="5" name="图片 2"/>
                          <pic:cNvPicPr/>
                        </pic:nvPicPr>
                        <pic:blipFill>
                          <a:blip r:embed="rId10"/>
                          <a:stretch>
                            <a:fillRect/>
                          </a:stretch>
                        </pic:blipFill>
                        <pic:spPr>
                          <a:xfrm>
                            <a:off x="0" y="0"/>
                            <a:ext cx="1070610" cy="495300"/>
                          </a:xfrm>
                          <a:prstGeom prst="rect">
                            <a:avLst/>
                          </a:prstGeom>
                          <a:noFill/>
                          <a:ln>
                            <a:noFill/>
                          </a:ln>
                        </pic:spPr>
                      </pic:pic>
                    </a:graphicData>
                  </a:graphic>
                </wp:inline>
              </w:drawing>
            </w:r>
          </w:p>
        </w:tc>
        <w:tc>
          <w:tcPr>
            <w:tcW w:w="2563" w:type="dxa"/>
            <w:gridSpan w:val="5"/>
            <w:tcBorders>
              <w:left w:val="nil"/>
            </w:tcBorders>
            <w:noWrap w:val="0"/>
            <w:vAlign w:val="top"/>
          </w:tcPr>
          <w:p>
            <w:pPr>
              <w:spacing w:line="243"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spacing w:line="244" w:lineRule="auto"/>
              <w:rPr>
                <w:rFonts w:ascii="Arial"/>
                <w:color w:val="auto"/>
                <w:sz w:val="21"/>
              </w:rPr>
            </w:pPr>
          </w:p>
          <w:p>
            <w:pPr>
              <w:spacing w:line="244" w:lineRule="auto"/>
              <w:rPr>
                <w:rFonts w:ascii="Arial"/>
                <w:color w:val="auto"/>
                <w:sz w:val="21"/>
              </w:rPr>
            </w:pPr>
          </w:p>
          <w:p>
            <w:pPr>
              <w:spacing w:line="244" w:lineRule="auto"/>
              <w:rPr>
                <w:rFonts w:ascii="Arial"/>
                <w:color w:val="auto"/>
                <w:sz w:val="21"/>
              </w:rPr>
            </w:pPr>
          </w:p>
          <w:p>
            <w:pPr>
              <w:spacing w:before="69" w:line="221" w:lineRule="auto"/>
              <w:ind w:left="87"/>
              <w:rPr>
                <w:rFonts w:ascii="宋体" w:hAnsi="宋体" w:eastAsia="宋体" w:cs="宋体"/>
                <w:color w:val="auto"/>
                <w:sz w:val="21"/>
                <w:szCs w:val="21"/>
              </w:rPr>
            </w:pPr>
            <w:r>
              <w:rPr>
                <w:color w:val="auto"/>
              </w:rPr>
              <w:drawing>
                <wp:anchor distT="0" distB="0" distL="114300" distR="114300" simplePos="0" relativeHeight="251663360" behindDoc="1" locked="0" layoutInCell="1" allowOverlap="1">
                  <wp:simplePos x="0" y="0"/>
                  <wp:positionH relativeFrom="column">
                    <wp:posOffset>80010</wp:posOffset>
                  </wp:positionH>
                  <wp:positionV relativeFrom="paragraph">
                    <wp:posOffset>-709930</wp:posOffset>
                  </wp:positionV>
                  <wp:extent cx="1683385" cy="1647825"/>
                  <wp:effectExtent l="0" t="0" r="8255" b="13335"/>
                  <wp:wrapNone/>
                  <wp:docPr id="6" name="IM 7"/>
                  <wp:cNvGraphicFramePr/>
                  <a:graphic xmlns:a="http://schemas.openxmlformats.org/drawingml/2006/main">
                    <a:graphicData uri="http://schemas.openxmlformats.org/drawingml/2006/picture">
                      <pic:pic xmlns:pic="http://schemas.openxmlformats.org/drawingml/2006/picture">
                        <pic:nvPicPr>
                          <pic:cNvPr id="6" name="IM 7"/>
                          <pic:cNvPicPr/>
                        </pic:nvPicPr>
                        <pic:blipFill>
                          <a:blip r:embed="rId6"/>
                          <a:stretch>
                            <a:fillRect/>
                          </a:stretch>
                        </pic:blipFill>
                        <pic:spPr>
                          <a:xfrm>
                            <a:off x="0" y="0"/>
                            <a:ext cx="1683385" cy="1647825"/>
                          </a:xfrm>
                          <a:prstGeom prst="rect">
                            <a:avLst/>
                          </a:prstGeom>
                          <a:noFill/>
                          <a:ln>
                            <a:noFill/>
                          </a:ln>
                        </pic:spPr>
                      </pic:pic>
                    </a:graphicData>
                  </a:graphic>
                </wp:anchor>
              </w:drawing>
            </w:r>
            <w:r>
              <w:rPr>
                <w:rFonts w:ascii="宋体" w:hAnsi="宋体" w:eastAsia="宋体" w:cs="宋体"/>
                <w:color w:val="auto"/>
                <w:spacing w:val="2"/>
                <w:sz w:val="21"/>
                <w:szCs w:val="21"/>
              </w:rPr>
              <w:t>202</w:t>
            </w:r>
            <w:r>
              <w:rPr>
                <w:rFonts w:hint="eastAsia" w:ascii="宋体" w:hAnsi="宋体" w:eastAsia="宋体" w:cs="宋体"/>
                <w:color w:val="auto"/>
                <w:spacing w:val="2"/>
                <w:sz w:val="21"/>
                <w:szCs w:val="21"/>
                <w:lang w:val="en-US" w:eastAsia="zh-CN"/>
              </w:rPr>
              <w:t>2</w:t>
            </w:r>
            <w:r>
              <w:rPr>
                <w:rFonts w:ascii="宋体" w:hAnsi="宋体" w:eastAsia="宋体" w:cs="宋体"/>
                <w:color w:val="auto"/>
                <w:spacing w:val="2"/>
                <w:sz w:val="21"/>
                <w:szCs w:val="21"/>
              </w:rPr>
              <w:t xml:space="preserve"> 年   7 月  5   </w:t>
            </w:r>
            <w:r>
              <w:rPr>
                <w:rFonts w:ascii="宋体" w:hAnsi="宋体" w:eastAsia="宋体" w:cs="宋体"/>
                <w:color w:val="auto"/>
                <w:sz w:val="21"/>
                <w:szCs w:val="21"/>
              </w:rPr>
              <w:t>日</w:t>
            </w:r>
          </w:p>
        </w:tc>
      </w:tr>
    </w:tbl>
    <w:p>
      <w:pPr>
        <w:rPr>
          <w:color w:val="auto"/>
        </w:rPr>
        <w:sectPr>
          <w:footerReference r:id="rId3" w:type="default"/>
          <w:pgSz w:w="11907" w:h="16839"/>
          <w:pgMar w:top="1050" w:right="1442" w:bottom="1153" w:left="1555" w:header="0" w:footer="993" w:gutter="0"/>
          <w:pgBorders>
            <w:top w:val="none" w:sz="0" w:space="0"/>
            <w:left w:val="none" w:sz="0" w:space="0"/>
            <w:bottom w:val="none" w:sz="0" w:space="0"/>
            <w:right w:val="none" w:sz="0" w:space="0"/>
          </w:pgBorders>
          <w:pgNumType w:fmt="decimal"/>
          <w:cols w:space="720" w:num="1"/>
        </w:sectPr>
      </w:pPr>
    </w:p>
    <w:p>
      <w:pPr>
        <w:spacing w:line="360" w:lineRule="auto"/>
        <w:ind w:firstLine="640" w:firstLineChars="200"/>
        <w:rPr>
          <w:rFonts w:hint="eastAsia" w:ascii="Calibri" w:hAnsi="Calibri" w:eastAsia="宋体" w:cs="宋体"/>
          <w:szCs w:val="32"/>
        </w:rPr>
      </w:pPr>
    </w:p>
    <w:p>
      <w:pPr>
        <w:spacing w:line="360" w:lineRule="auto"/>
        <w:ind w:firstLine="640" w:firstLineChars="200"/>
        <w:rPr>
          <w:rFonts w:ascii="Calibri" w:hAnsi="Calibri" w:eastAsia="宋体" w:cs="宋体"/>
          <w:szCs w:val="32"/>
        </w:rPr>
      </w:pPr>
      <w:r>
        <w:rPr>
          <w:rFonts w:hint="eastAsia" w:ascii="Calibri" w:hAnsi="Calibri" w:eastAsia="宋体" w:cs="宋体"/>
          <w:szCs w:val="32"/>
        </w:rPr>
        <w:t>佛山市南海区第一职业技术学校专业人才培养方案</w:t>
      </w:r>
    </w:p>
    <w:p>
      <w:pPr>
        <w:spacing w:line="360" w:lineRule="auto"/>
        <w:ind w:firstLine="3200" w:firstLineChars="1000"/>
        <w:rPr>
          <w:rFonts w:ascii="Calibri" w:hAnsi="Calibri" w:eastAsia="宋体" w:cs="宋体"/>
          <w:szCs w:val="32"/>
        </w:rPr>
      </w:pPr>
      <w:r>
        <w:rPr>
          <w:rFonts w:hint="eastAsia" w:ascii="Calibri" w:hAnsi="Calibri" w:eastAsia="宋体" w:cs="宋体"/>
          <w:szCs w:val="32"/>
        </w:rPr>
        <w:t>变更审批表</w:t>
      </w:r>
    </w:p>
    <w:tbl>
      <w:tblPr>
        <w:tblStyle w:val="26"/>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1772"/>
        <w:gridCol w:w="2056"/>
        <w:gridCol w:w="2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spacing w:line="360" w:lineRule="auto"/>
              <w:ind w:firstLine="560" w:firstLineChars="200"/>
              <w:jc w:val="center"/>
              <w:rPr>
                <w:rFonts w:ascii="Calibri" w:hAnsi="Calibri" w:eastAsia="宋体" w:cs="宋体"/>
                <w:sz w:val="28"/>
                <w:szCs w:val="28"/>
              </w:rPr>
            </w:pPr>
            <w:r>
              <w:rPr>
                <w:rFonts w:hint="eastAsia" w:ascii="Calibri" w:hAnsi="Calibri" w:eastAsia="宋体" w:cs="宋体"/>
                <w:sz w:val="28"/>
                <w:szCs w:val="28"/>
              </w:rPr>
              <w:t>适用专业</w:t>
            </w:r>
          </w:p>
        </w:tc>
        <w:tc>
          <w:tcPr>
            <w:tcW w:w="1772" w:type="dxa"/>
          </w:tcPr>
          <w:p>
            <w:pPr>
              <w:spacing w:line="360" w:lineRule="auto"/>
              <w:ind w:firstLine="480" w:firstLineChars="200"/>
              <w:jc w:val="center"/>
              <w:rPr>
                <w:rFonts w:ascii="Calibri" w:hAnsi="Calibri" w:eastAsia="宋体" w:cs="宋体"/>
                <w:sz w:val="24"/>
                <w:szCs w:val="24"/>
              </w:rPr>
            </w:pPr>
          </w:p>
        </w:tc>
        <w:tc>
          <w:tcPr>
            <w:tcW w:w="2056" w:type="dxa"/>
          </w:tcPr>
          <w:p>
            <w:pPr>
              <w:spacing w:line="360" w:lineRule="auto"/>
              <w:ind w:firstLine="560" w:firstLineChars="200"/>
              <w:jc w:val="center"/>
              <w:rPr>
                <w:rFonts w:ascii="Calibri" w:hAnsi="Calibri" w:eastAsia="宋体" w:cs="宋体"/>
                <w:sz w:val="28"/>
                <w:szCs w:val="28"/>
              </w:rPr>
            </w:pPr>
            <w:r>
              <w:rPr>
                <w:rFonts w:hint="eastAsia" w:ascii="Calibri" w:hAnsi="Calibri" w:eastAsia="宋体" w:cs="宋体"/>
                <w:sz w:val="28"/>
                <w:szCs w:val="28"/>
              </w:rPr>
              <w:t>变更日期</w:t>
            </w:r>
          </w:p>
        </w:tc>
        <w:tc>
          <w:tcPr>
            <w:tcW w:w="2092" w:type="dxa"/>
          </w:tcPr>
          <w:p>
            <w:pPr>
              <w:spacing w:line="360" w:lineRule="auto"/>
              <w:ind w:firstLine="560" w:firstLineChars="200"/>
              <w:rPr>
                <w:rFonts w:ascii="Calibri" w:hAnsi="Calibri"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spacing w:line="360" w:lineRule="auto"/>
              <w:ind w:firstLine="560" w:firstLineChars="200"/>
              <w:jc w:val="center"/>
              <w:rPr>
                <w:rFonts w:ascii="Calibri" w:hAnsi="Calibri" w:eastAsia="宋体" w:cs="宋体"/>
                <w:sz w:val="28"/>
                <w:szCs w:val="28"/>
              </w:rPr>
            </w:pPr>
            <w:r>
              <w:rPr>
                <w:rFonts w:hint="eastAsia" w:ascii="Calibri" w:hAnsi="Calibri" w:eastAsia="宋体" w:cs="宋体"/>
                <w:sz w:val="28"/>
                <w:szCs w:val="28"/>
              </w:rPr>
              <w:t>编制者</w:t>
            </w:r>
          </w:p>
        </w:tc>
        <w:tc>
          <w:tcPr>
            <w:tcW w:w="1772" w:type="dxa"/>
          </w:tcPr>
          <w:p>
            <w:pPr>
              <w:spacing w:line="360" w:lineRule="auto"/>
              <w:ind w:firstLine="560" w:firstLineChars="200"/>
              <w:jc w:val="center"/>
              <w:rPr>
                <w:rFonts w:ascii="Calibri" w:hAnsi="Calibri" w:eastAsia="宋体" w:cs="宋体"/>
                <w:sz w:val="28"/>
                <w:szCs w:val="28"/>
              </w:rPr>
            </w:pPr>
          </w:p>
        </w:tc>
        <w:tc>
          <w:tcPr>
            <w:tcW w:w="2056" w:type="dxa"/>
          </w:tcPr>
          <w:p>
            <w:pPr>
              <w:spacing w:line="360" w:lineRule="auto"/>
              <w:ind w:firstLine="560" w:firstLineChars="200"/>
              <w:jc w:val="center"/>
              <w:rPr>
                <w:rFonts w:ascii="Calibri" w:hAnsi="Calibri" w:eastAsia="宋体" w:cs="宋体"/>
                <w:sz w:val="28"/>
                <w:szCs w:val="28"/>
              </w:rPr>
            </w:pPr>
            <w:r>
              <w:rPr>
                <w:rFonts w:hint="eastAsia" w:ascii="Calibri" w:hAnsi="Calibri" w:eastAsia="宋体" w:cs="宋体"/>
                <w:sz w:val="28"/>
                <w:szCs w:val="28"/>
              </w:rPr>
              <w:t>审核者</w:t>
            </w:r>
          </w:p>
        </w:tc>
        <w:tc>
          <w:tcPr>
            <w:tcW w:w="2092" w:type="dxa"/>
          </w:tcPr>
          <w:p>
            <w:pPr>
              <w:spacing w:line="360" w:lineRule="auto"/>
              <w:ind w:firstLine="560" w:firstLineChars="200"/>
              <w:rPr>
                <w:rFonts w:ascii="Calibri" w:hAnsi="Calibri"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spacing w:line="360" w:lineRule="auto"/>
              <w:ind w:firstLine="560" w:firstLineChars="200"/>
              <w:jc w:val="center"/>
              <w:rPr>
                <w:rFonts w:ascii="Calibri" w:hAnsi="Calibri" w:eastAsia="宋体" w:cs="宋体"/>
                <w:sz w:val="28"/>
                <w:szCs w:val="28"/>
              </w:rPr>
            </w:pPr>
            <w:r>
              <w:rPr>
                <w:rFonts w:hint="eastAsia" w:ascii="Calibri" w:hAnsi="Calibri" w:eastAsia="宋体" w:cs="宋体"/>
                <w:sz w:val="28"/>
                <w:szCs w:val="28"/>
              </w:rPr>
              <w:t>审批者</w:t>
            </w:r>
          </w:p>
        </w:tc>
        <w:tc>
          <w:tcPr>
            <w:tcW w:w="1772" w:type="dxa"/>
          </w:tcPr>
          <w:p>
            <w:pPr>
              <w:spacing w:line="360" w:lineRule="auto"/>
              <w:ind w:firstLine="560" w:firstLineChars="200"/>
              <w:jc w:val="center"/>
              <w:rPr>
                <w:rFonts w:ascii="Calibri" w:hAnsi="Calibri" w:eastAsia="宋体" w:cs="宋体"/>
                <w:sz w:val="28"/>
                <w:szCs w:val="28"/>
              </w:rPr>
            </w:pPr>
          </w:p>
        </w:tc>
        <w:tc>
          <w:tcPr>
            <w:tcW w:w="2056" w:type="dxa"/>
          </w:tcPr>
          <w:p>
            <w:pPr>
              <w:spacing w:line="360" w:lineRule="auto"/>
              <w:ind w:firstLine="560" w:firstLineChars="200"/>
              <w:jc w:val="center"/>
              <w:rPr>
                <w:rFonts w:ascii="Calibri" w:hAnsi="Calibri" w:eastAsia="宋体" w:cs="宋体"/>
                <w:sz w:val="28"/>
                <w:szCs w:val="28"/>
              </w:rPr>
            </w:pPr>
            <w:r>
              <w:rPr>
                <w:rFonts w:hint="eastAsia" w:ascii="Calibri" w:hAnsi="Calibri" w:eastAsia="宋体" w:cs="宋体"/>
                <w:sz w:val="28"/>
                <w:szCs w:val="28"/>
              </w:rPr>
              <w:t>审批日期</w:t>
            </w:r>
          </w:p>
        </w:tc>
        <w:tc>
          <w:tcPr>
            <w:tcW w:w="2092" w:type="dxa"/>
          </w:tcPr>
          <w:p>
            <w:pPr>
              <w:spacing w:line="360" w:lineRule="auto"/>
              <w:ind w:firstLine="560" w:firstLineChars="200"/>
              <w:rPr>
                <w:rFonts w:ascii="Calibri" w:hAnsi="Calibri"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4"/>
          </w:tcPr>
          <w:p>
            <w:pPr>
              <w:spacing w:line="360" w:lineRule="auto"/>
              <w:ind w:firstLine="3360" w:firstLineChars="1200"/>
              <w:rPr>
                <w:rFonts w:ascii="Calibri" w:hAnsi="Calibri" w:eastAsia="宋体" w:cs="宋体"/>
                <w:sz w:val="28"/>
                <w:szCs w:val="28"/>
              </w:rPr>
            </w:pPr>
            <w:r>
              <w:rPr>
                <w:rFonts w:hint="eastAsia" w:ascii="Calibri" w:hAnsi="Calibri" w:eastAsia="宋体" w:cs="宋体"/>
                <w:sz w:val="28"/>
                <w:szCs w:val="28"/>
              </w:rPr>
              <w:t>变更原因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9" w:hRule="atLeast"/>
        </w:trPr>
        <w:tc>
          <w:tcPr>
            <w:tcW w:w="8296" w:type="dxa"/>
            <w:gridSpan w:val="4"/>
          </w:tcPr>
          <w:p>
            <w:pPr>
              <w:spacing w:line="360" w:lineRule="auto"/>
              <w:ind w:firstLine="560" w:firstLineChars="200"/>
              <w:jc w:val="center"/>
              <w:rPr>
                <w:rFonts w:ascii="Calibri" w:hAnsi="Calibri" w:eastAsia="宋体" w:cs="宋体"/>
                <w:sz w:val="28"/>
                <w:szCs w:val="28"/>
              </w:rPr>
            </w:pPr>
          </w:p>
          <w:p>
            <w:pPr>
              <w:spacing w:line="360" w:lineRule="auto"/>
              <w:ind w:firstLine="560" w:firstLineChars="200"/>
              <w:jc w:val="center"/>
              <w:rPr>
                <w:rFonts w:ascii="Calibri" w:hAnsi="Calibri" w:eastAsia="宋体" w:cs="宋体"/>
                <w:sz w:val="28"/>
                <w:szCs w:val="28"/>
              </w:rPr>
            </w:pPr>
          </w:p>
          <w:p>
            <w:pPr>
              <w:spacing w:line="360" w:lineRule="auto"/>
              <w:ind w:firstLine="560" w:firstLineChars="200"/>
              <w:jc w:val="center"/>
              <w:rPr>
                <w:rFonts w:ascii="Calibri" w:hAnsi="Calibri" w:eastAsia="宋体" w:cs="宋体"/>
                <w:sz w:val="28"/>
                <w:szCs w:val="28"/>
              </w:rPr>
            </w:pPr>
          </w:p>
          <w:p>
            <w:pPr>
              <w:spacing w:line="360" w:lineRule="auto"/>
              <w:ind w:firstLine="560" w:firstLineChars="200"/>
              <w:rPr>
                <w:rFonts w:ascii="Calibri" w:hAnsi="Calibri"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8296" w:type="dxa"/>
            <w:gridSpan w:val="4"/>
          </w:tcPr>
          <w:p>
            <w:pPr>
              <w:spacing w:line="360" w:lineRule="auto"/>
              <w:ind w:firstLine="3278" w:firstLineChars="1171"/>
              <w:rPr>
                <w:rFonts w:ascii="Calibri" w:hAnsi="Calibri" w:eastAsia="宋体" w:cs="宋体"/>
                <w:sz w:val="28"/>
                <w:szCs w:val="28"/>
              </w:rPr>
            </w:pPr>
            <w:r>
              <w:rPr>
                <w:rFonts w:hint="eastAsia" w:ascii="Calibri" w:hAnsi="Calibri" w:eastAsia="宋体" w:cs="宋体"/>
                <w:sz w:val="28"/>
                <w:szCs w:val="28"/>
              </w:rPr>
              <w:t>审批意见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8" w:hRule="atLeast"/>
        </w:trPr>
        <w:tc>
          <w:tcPr>
            <w:tcW w:w="8296" w:type="dxa"/>
            <w:gridSpan w:val="4"/>
          </w:tcPr>
          <w:p>
            <w:pPr>
              <w:spacing w:line="360" w:lineRule="auto"/>
              <w:ind w:firstLine="480" w:firstLineChars="200"/>
              <w:rPr>
                <w:rFonts w:ascii="Calibri" w:hAnsi="Calibri" w:eastAsia="宋体" w:cs="宋体"/>
                <w:sz w:val="24"/>
              </w:rPr>
            </w:pPr>
          </w:p>
          <w:p>
            <w:pPr>
              <w:spacing w:line="360" w:lineRule="auto"/>
              <w:ind w:firstLine="480" w:firstLineChars="200"/>
              <w:rPr>
                <w:rFonts w:ascii="Calibri" w:hAnsi="Calibri" w:eastAsia="宋体" w:cs="宋体"/>
                <w:sz w:val="24"/>
              </w:rPr>
            </w:pPr>
          </w:p>
          <w:p>
            <w:pPr>
              <w:spacing w:line="360" w:lineRule="auto"/>
              <w:ind w:firstLine="480" w:firstLineChars="200"/>
              <w:rPr>
                <w:rFonts w:ascii="Calibri" w:hAnsi="Calibri" w:eastAsia="宋体" w:cs="宋体"/>
                <w:sz w:val="24"/>
              </w:rPr>
            </w:pPr>
          </w:p>
          <w:p>
            <w:pPr>
              <w:spacing w:line="360" w:lineRule="auto"/>
              <w:ind w:firstLine="480" w:firstLineChars="200"/>
              <w:rPr>
                <w:rFonts w:ascii="Calibri" w:hAnsi="Calibri" w:eastAsia="宋体" w:cs="宋体"/>
                <w:sz w:val="24"/>
              </w:rPr>
            </w:pPr>
          </w:p>
          <w:p>
            <w:pPr>
              <w:spacing w:line="360" w:lineRule="auto"/>
              <w:ind w:firstLine="480" w:firstLineChars="200"/>
              <w:rPr>
                <w:rFonts w:ascii="Calibri" w:hAnsi="Calibri" w:eastAsia="宋体" w:cs="宋体"/>
                <w:sz w:val="24"/>
              </w:rPr>
            </w:pPr>
          </w:p>
          <w:p>
            <w:pPr>
              <w:spacing w:line="360" w:lineRule="auto"/>
              <w:ind w:firstLine="480" w:firstLineChars="200"/>
              <w:rPr>
                <w:rFonts w:ascii="Calibri" w:hAnsi="Calibri" w:eastAsia="宋体" w:cs="宋体"/>
                <w:sz w:val="24"/>
              </w:rPr>
            </w:pPr>
            <w:r>
              <w:rPr>
                <w:rFonts w:hint="eastAsia" w:ascii="Calibri" w:hAnsi="Calibri" w:eastAsia="宋体" w:cs="宋体"/>
                <w:sz w:val="24"/>
              </w:rPr>
              <w:t xml:space="preserve"> </w:t>
            </w:r>
            <w:r>
              <w:rPr>
                <w:rFonts w:ascii="Calibri" w:hAnsi="Calibri" w:eastAsia="宋体" w:cs="宋体"/>
                <w:sz w:val="24"/>
              </w:rPr>
              <w:t xml:space="preserve">                                         </w:t>
            </w:r>
          </w:p>
          <w:p>
            <w:pPr>
              <w:spacing w:line="360" w:lineRule="auto"/>
              <w:ind w:firstLine="5040" w:firstLineChars="2100"/>
              <w:rPr>
                <w:rFonts w:ascii="Calibri" w:hAnsi="Calibri" w:eastAsia="宋体" w:cs="宋体"/>
                <w:sz w:val="24"/>
                <w:szCs w:val="24"/>
              </w:rPr>
            </w:pPr>
            <w:r>
              <w:rPr>
                <w:rFonts w:hint="eastAsia" w:ascii="Calibri" w:hAnsi="Calibri" w:eastAsia="宋体" w:cs="宋体"/>
                <w:sz w:val="24"/>
                <w:szCs w:val="24"/>
              </w:rPr>
              <w:t>学校公章</w:t>
            </w:r>
          </w:p>
          <w:p>
            <w:pPr>
              <w:spacing w:line="360" w:lineRule="auto"/>
              <w:ind w:firstLine="480" w:firstLineChars="200"/>
              <w:rPr>
                <w:rFonts w:ascii="Calibri" w:hAnsi="Calibri" w:eastAsia="宋体" w:cs="宋体"/>
                <w:sz w:val="24"/>
              </w:rPr>
            </w:pPr>
          </w:p>
        </w:tc>
      </w:tr>
    </w:tbl>
    <w:p>
      <w:pPr>
        <w:rPr>
          <w:rFonts w:ascii="宋体" w:hAnsi="宋体" w:eastAsia="宋体"/>
          <w:sz w:val="24"/>
          <w:szCs w:val="24"/>
        </w:rPr>
      </w:pPr>
    </w:p>
    <w:p>
      <w:pPr>
        <w:spacing w:line="360" w:lineRule="auto"/>
        <w:rPr>
          <w:rFonts w:asciiTheme="minorEastAsia" w:hAnsiTheme="minorEastAsia" w:eastAsiaTheme="minorEastAsia" w:cstheme="minorEastAsia"/>
          <w:sz w:val="24"/>
          <w:szCs w:val="24"/>
        </w:rPr>
      </w:pPr>
    </w:p>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261"/>
      <w:rPr>
        <w:rFonts w:hint="eastAsia" w:ascii="Times New Roman" w:hAnsi="Times New Roman" w:eastAsia="仿宋_GB2312" w:cs="Times New Roman"/>
        <w:sz w:val="18"/>
        <w:szCs w:val="18"/>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435FD6"/>
    <w:multiLevelType w:val="singleLevel"/>
    <w:tmpl w:val="A0435FD6"/>
    <w:lvl w:ilvl="0" w:tentative="0">
      <w:start w:val="7"/>
      <w:numFmt w:val="chineseCounting"/>
      <w:suff w:val="nothing"/>
      <w:lvlText w:val="%1、"/>
      <w:lvlJc w:val="left"/>
      <w:rPr>
        <w:rFonts w:hint="eastAsia"/>
      </w:rPr>
    </w:lvl>
  </w:abstractNum>
  <w:abstractNum w:abstractNumId="1">
    <w:nsid w:val="BE58EF01"/>
    <w:multiLevelType w:val="singleLevel"/>
    <w:tmpl w:val="BE58EF01"/>
    <w:lvl w:ilvl="0" w:tentative="0">
      <w:start w:val="1"/>
      <w:numFmt w:val="decimal"/>
      <w:lvlText w:val="%1."/>
      <w:lvlJc w:val="left"/>
      <w:pPr>
        <w:ind w:left="425" w:hanging="425"/>
      </w:pPr>
      <w:rPr>
        <w:rFonts w:hint="default"/>
      </w:rPr>
    </w:lvl>
  </w:abstractNum>
  <w:abstractNum w:abstractNumId="2">
    <w:nsid w:val="032646FF"/>
    <w:multiLevelType w:val="singleLevel"/>
    <w:tmpl w:val="032646FF"/>
    <w:lvl w:ilvl="0" w:tentative="0">
      <w:start w:val="1"/>
      <w:numFmt w:val="decimal"/>
      <w:lvlText w:val="%1."/>
      <w:lvlJc w:val="left"/>
      <w:pPr>
        <w:ind w:left="425" w:hanging="425"/>
      </w:pPr>
      <w:rPr>
        <w:rFonts w:hint="default"/>
      </w:rPr>
    </w:lvl>
  </w:abstractNum>
  <w:abstractNum w:abstractNumId="3">
    <w:nsid w:val="5B9BDD24"/>
    <w:multiLevelType w:val="singleLevel"/>
    <w:tmpl w:val="5B9BDD24"/>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ZiYTY2NDlkMDQwM2U4ZmU3ZWY5MjkzYTFhMGRkYzgifQ=="/>
  </w:docVars>
  <w:rsids>
    <w:rsidRoot w:val="00172A27"/>
    <w:rsid w:val="00053965"/>
    <w:rsid w:val="000A7526"/>
    <w:rsid w:val="000C5AF3"/>
    <w:rsid w:val="000D6389"/>
    <w:rsid w:val="001146AC"/>
    <w:rsid w:val="0013645C"/>
    <w:rsid w:val="00142070"/>
    <w:rsid w:val="001C3424"/>
    <w:rsid w:val="001E13AA"/>
    <w:rsid w:val="001F5047"/>
    <w:rsid w:val="001F5525"/>
    <w:rsid w:val="001F6673"/>
    <w:rsid w:val="00205D8E"/>
    <w:rsid w:val="00241D30"/>
    <w:rsid w:val="00246619"/>
    <w:rsid w:val="002756C2"/>
    <w:rsid w:val="00297483"/>
    <w:rsid w:val="002A3F47"/>
    <w:rsid w:val="002C29C5"/>
    <w:rsid w:val="002C5411"/>
    <w:rsid w:val="002D178B"/>
    <w:rsid w:val="00304F6D"/>
    <w:rsid w:val="00311322"/>
    <w:rsid w:val="0032418F"/>
    <w:rsid w:val="00340383"/>
    <w:rsid w:val="00343FA1"/>
    <w:rsid w:val="00346851"/>
    <w:rsid w:val="0034750D"/>
    <w:rsid w:val="0036324E"/>
    <w:rsid w:val="003C71E6"/>
    <w:rsid w:val="003D15DF"/>
    <w:rsid w:val="003D4112"/>
    <w:rsid w:val="00401E09"/>
    <w:rsid w:val="0040773E"/>
    <w:rsid w:val="004216B6"/>
    <w:rsid w:val="00424FAD"/>
    <w:rsid w:val="00460C05"/>
    <w:rsid w:val="00474461"/>
    <w:rsid w:val="004B5AAB"/>
    <w:rsid w:val="004E648E"/>
    <w:rsid w:val="004E674D"/>
    <w:rsid w:val="004F51EC"/>
    <w:rsid w:val="00522F71"/>
    <w:rsid w:val="005E0A9D"/>
    <w:rsid w:val="005F5AF6"/>
    <w:rsid w:val="00607EAF"/>
    <w:rsid w:val="00615F63"/>
    <w:rsid w:val="0064390E"/>
    <w:rsid w:val="006622AB"/>
    <w:rsid w:val="006837A2"/>
    <w:rsid w:val="006F1BC1"/>
    <w:rsid w:val="00726A92"/>
    <w:rsid w:val="00730328"/>
    <w:rsid w:val="0073402C"/>
    <w:rsid w:val="00734171"/>
    <w:rsid w:val="00767B7B"/>
    <w:rsid w:val="007A1EA4"/>
    <w:rsid w:val="007B0D45"/>
    <w:rsid w:val="007C6E56"/>
    <w:rsid w:val="00815406"/>
    <w:rsid w:val="00835CE5"/>
    <w:rsid w:val="00847A35"/>
    <w:rsid w:val="00861DFD"/>
    <w:rsid w:val="00945C18"/>
    <w:rsid w:val="009A175E"/>
    <w:rsid w:val="009B29AB"/>
    <w:rsid w:val="009C3583"/>
    <w:rsid w:val="009C42D4"/>
    <w:rsid w:val="009C5072"/>
    <w:rsid w:val="009F1060"/>
    <w:rsid w:val="009F141D"/>
    <w:rsid w:val="009F219E"/>
    <w:rsid w:val="00A10BFA"/>
    <w:rsid w:val="00A34CCA"/>
    <w:rsid w:val="00AD35C1"/>
    <w:rsid w:val="00AE7568"/>
    <w:rsid w:val="00B05940"/>
    <w:rsid w:val="00B16144"/>
    <w:rsid w:val="00B85FAD"/>
    <w:rsid w:val="00BA6300"/>
    <w:rsid w:val="00BC154F"/>
    <w:rsid w:val="00C301E6"/>
    <w:rsid w:val="00C52863"/>
    <w:rsid w:val="00C71938"/>
    <w:rsid w:val="00D13146"/>
    <w:rsid w:val="00D53A49"/>
    <w:rsid w:val="00DB0338"/>
    <w:rsid w:val="00DD0405"/>
    <w:rsid w:val="00DE76F7"/>
    <w:rsid w:val="00E12648"/>
    <w:rsid w:val="00E2703B"/>
    <w:rsid w:val="00E40031"/>
    <w:rsid w:val="00E6677D"/>
    <w:rsid w:val="00EA3ED5"/>
    <w:rsid w:val="00EB4C2A"/>
    <w:rsid w:val="00EB5C66"/>
    <w:rsid w:val="00ED0F76"/>
    <w:rsid w:val="00ED5399"/>
    <w:rsid w:val="00EE5721"/>
    <w:rsid w:val="01065EB7"/>
    <w:rsid w:val="0114609D"/>
    <w:rsid w:val="01667B27"/>
    <w:rsid w:val="027C0F19"/>
    <w:rsid w:val="0391453E"/>
    <w:rsid w:val="04AE6C50"/>
    <w:rsid w:val="08E30AD9"/>
    <w:rsid w:val="08F15FAE"/>
    <w:rsid w:val="0A1D2890"/>
    <w:rsid w:val="0CC627A7"/>
    <w:rsid w:val="0FDE44E9"/>
    <w:rsid w:val="10A97023"/>
    <w:rsid w:val="10BE4168"/>
    <w:rsid w:val="119A2192"/>
    <w:rsid w:val="121830BE"/>
    <w:rsid w:val="126A05BB"/>
    <w:rsid w:val="158B172D"/>
    <w:rsid w:val="160C694B"/>
    <w:rsid w:val="18F20239"/>
    <w:rsid w:val="19AD3EB8"/>
    <w:rsid w:val="19DE010A"/>
    <w:rsid w:val="19E21247"/>
    <w:rsid w:val="19E445CE"/>
    <w:rsid w:val="1A9277D6"/>
    <w:rsid w:val="1DA5166B"/>
    <w:rsid w:val="20D5488F"/>
    <w:rsid w:val="21DD6EFA"/>
    <w:rsid w:val="21F568B6"/>
    <w:rsid w:val="23054004"/>
    <w:rsid w:val="23CC40D4"/>
    <w:rsid w:val="2A2A46A2"/>
    <w:rsid w:val="2AC34CBF"/>
    <w:rsid w:val="2B2C198B"/>
    <w:rsid w:val="2C841022"/>
    <w:rsid w:val="2CCB3779"/>
    <w:rsid w:val="2E8849C5"/>
    <w:rsid w:val="2EB84BEF"/>
    <w:rsid w:val="2F6A18BD"/>
    <w:rsid w:val="31F84007"/>
    <w:rsid w:val="3252336E"/>
    <w:rsid w:val="34716DA1"/>
    <w:rsid w:val="35924E50"/>
    <w:rsid w:val="35CB38BF"/>
    <w:rsid w:val="361B5554"/>
    <w:rsid w:val="37472EB0"/>
    <w:rsid w:val="37AD7747"/>
    <w:rsid w:val="38B3023D"/>
    <w:rsid w:val="3C312CF0"/>
    <w:rsid w:val="3C6A6DCC"/>
    <w:rsid w:val="3D6C3B9D"/>
    <w:rsid w:val="41086D2A"/>
    <w:rsid w:val="4209649E"/>
    <w:rsid w:val="42581330"/>
    <w:rsid w:val="432F4C79"/>
    <w:rsid w:val="448D375C"/>
    <w:rsid w:val="45A120CE"/>
    <w:rsid w:val="46663BA8"/>
    <w:rsid w:val="47501D98"/>
    <w:rsid w:val="47CD5088"/>
    <w:rsid w:val="47D43E1B"/>
    <w:rsid w:val="48A572D8"/>
    <w:rsid w:val="48D51F5C"/>
    <w:rsid w:val="492B5E96"/>
    <w:rsid w:val="494221A7"/>
    <w:rsid w:val="4D3B34AE"/>
    <w:rsid w:val="4E7C77B8"/>
    <w:rsid w:val="4F9535A3"/>
    <w:rsid w:val="4F9B651B"/>
    <w:rsid w:val="4FC22D8F"/>
    <w:rsid w:val="533C68C1"/>
    <w:rsid w:val="57CD127A"/>
    <w:rsid w:val="57DD31D4"/>
    <w:rsid w:val="58A40811"/>
    <w:rsid w:val="5B101B12"/>
    <w:rsid w:val="5B10566E"/>
    <w:rsid w:val="5B1213E7"/>
    <w:rsid w:val="5DA80AD6"/>
    <w:rsid w:val="5E030F26"/>
    <w:rsid w:val="5F696CC7"/>
    <w:rsid w:val="60636559"/>
    <w:rsid w:val="60F2468C"/>
    <w:rsid w:val="62BC1757"/>
    <w:rsid w:val="636618FC"/>
    <w:rsid w:val="637F0471"/>
    <w:rsid w:val="63C42979"/>
    <w:rsid w:val="64B42B3D"/>
    <w:rsid w:val="65442B5E"/>
    <w:rsid w:val="66567060"/>
    <w:rsid w:val="66BD5991"/>
    <w:rsid w:val="67A40A31"/>
    <w:rsid w:val="67C72797"/>
    <w:rsid w:val="67E57BB7"/>
    <w:rsid w:val="69FB2706"/>
    <w:rsid w:val="6C541FB7"/>
    <w:rsid w:val="6DF878B7"/>
    <w:rsid w:val="715A1F7E"/>
    <w:rsid w:val="76824350"/>
    <w:rsid w:val="769D7256"/>
    <w:rsid w:val="79CD3531"/>
    <w:rsid w:val="7A271A7A"/>
    <w:rsid w:val="7A431CC4"/>
    <w:rsid w:val="7AB427C6"/>
    <w:rsid w:val="7BF55FC7"/>
    <w:rsid w:val="7C200D91"/>
    <w:rsid w:val="7C6C3B6E"/>
    <w:rsid w:val="7D1B10CA"/>
    <w:rsid w:val="7F456904"/>
    <w:rsid w:val="7FAE7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直接箭头连接符 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b/>
      <w:bCs/>
      <w:sz w:val="28"/>
      <w:szCs w:val="32"/>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Body Text"/>
    <w:basedOn w:val="1"/>
    <w:qFormat/>
    <w:uiPriority w:val="1"/>
    <w:pPr>
      <w:autoSpaceDE w:val="0"/>
      <w:autoSpaceDN w:val="0"/>
      <w:spacing w:line="240" w:lineRule="auto"/>
      <w:ind w:firstLine="0" w:firstLineChars="0"/>
      <w:jc w:val="left"/>
    </w:pPr>
    <w:rPr>
      <w:rFonts w:ascii="宋体" w:hAnsi="宋体"/>
      <w:kern w:val="0"/>
      <w:szCs w:val="24"/>
      <w:lang w:val="zh-CN" w:bidi="zh-CN"/>
    </w:rPr>
  </w:style>
  <w:style w:type="paragraph" w:styleId="4">
    <w:name w:val="Body Text Indent 2"/>
    <w:basedOn w:val="1"/>
    <w:link w:val="16"/>
    <w:qFormat/>
    <w:uiPriority w:val="0"/>
    <w:pPr>
      <w:spacing w:line="360" w:lineRule="auto"/>
      <w:ind w:firstLine="360" w:firstLineChars="150"/>
    </w:pPr>
    <w:rPr>
      <w:rFonts w:ascii="宋体" w:hAnsi="宋体" w:eastAsia="宋体"/>
      <w:sz w:val="24"/>
      <w:szCs w:val="24"/>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Title"/>
    <w:basedOn w:val="1"/>
    <w:next w:val="1"/>
    <w:link w:val="17"/>
    <w:qFormat/>
    <w:uiPriority w:val="99"/>
    <w:pPr>
      <w:spacing w:before="240" w:after="60"/>
      <w:jc w:val="center"/>
      <w:outlineLvl w:val="0"/>
    </w:pPr>
    <w:rPr>
      <w:rFonts w:ascii="Cambria" w:hAnsi="Cambria" w:eastAsia="宋体" w:cs="Cambria"/>
      <w:b/>
      <w:bCs/>
      <w:kern w:val="0"/>
      <w:szCs w:val="32"/>
    </w:rPr>
  </w:style>
  <w:style w:type="table" w:styleId="10">
    <w:name w:val="Table Grid"/>
    <w:basedOn w:val="9"/>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中等深浅网格 1 - 着色 21"/>
    <w:basedOn w:val="1"/>
    <w:qFormat/>
    <w:uiPriority w:val="0"/>
    <w:pPr>
      <w:spacing w:line="360" w:lineRule="auto"/>
      <w:ind w:firstLine="420" w:firstLineChars="200"/>
    </w:pPr>
    <w:rPr>
      <w:rFonts w:ascii="Calibri" w:hAnsi="Calibri" w:eastAsia="宋体"/>
      <w:sz w:val="21"/>
    </w:rPr>
  </w:style>
  <w:style w:type="character" w:customStyle="1" w:styleId="13">
    <w:name w:val="页眉 Char"/>
    <w:basedOn w:val="11"/>
    <w:link w:val="6"/>
    <w:qFormat/>
    <w:uiPriority w:val="99"/>
    <w:rPr>
      <w:rFonts w:ascii="Times New Roman" w:hAnsi="Times New Roman" w:eastAsia="仿宋_GB2312" w:cs="Times New Roman"/>
      <w:sz w:val="18"/>
      <w:szCs w:val="18"/>
    </w:rPr>
  </w:style>
  <w:style w:type="character" w:customStyle="1" w:styleId="14">
    <w:name w:val="页脚 Char"/>
    <w:basedOn w:val="11"/>
    <w:link w:val="5"/>
    <w:qFormat/>
    <w:uiPriority w:val="99"/>
    <w:rPr>
      <w:rFonts w:ascii="Times New Roman" w:hAnsi="Times New Roman" w:eastAsia="仿宋_GB2312" w:cs="Times New Roman"/>
      <w:sz w:val="18"/>
      <w:szCs w:val="18"/>
    </w:rPr>
  </w:style>
  <w:style w:type="paragraph" w:customStyle="1" w:styleId="15">
    <w:name w:val="List Paragraph"/>
    <w:basedOn w:val="1"/>
    <w:qFormat/>
    <w:uiPriority w:val="34"/>
    <w:pPr>
      <w:ind w:firstLine="420" w:firstLineChars="200"/>
    </w:pPr>
  </w:style>
  <w:style w:type="character" w:customStyle="1" w:styleId="16">
    <w:name w:val="正文文本缩进 2 Char"/>
    <w:basedOn w:val="11"/>
    <w:link w:val="4"/>
    <w:qFormat/>
    <w:uiPriority w:val="0"/>
    <w:rPr>
      <w:rFonts w:ascii="宋体" w:hAnsi="宋体" w:eastAsia="宋体" w:cs="Times New Roman"/>
      <w:sz w:val="24"/>
      <w:szCs w:val="24"/>
    </w:rPr>
  </w:style>
  <w:style w:type="character" w:customStyle="1" w:styleId="17">
    <w:name w:val="标题 Char"/>
    <w:basedOn w:val="11"/>
    <w:link w:val="8"/>
    <w:qFormat/>
    <w:uiPriority w:val="99"/>
    <w:rPr>
      <w:rFonts w:ascii="Cambria" w:hAnsi="Cambria" w:eastAsia="宋体" w:cs="Cambria"/>
      <w:b/>
      <w:bCs/>
      <w:kern w:val="0"/>
      <w:sz w:val="32"/>
      <w:szCs w:val="32"/>
    </w:rPr>
  </w:style>
  <w:style w:type="paragraph" w:customStyle="1" w:styleId="18">
    <w:name w:val="表题"/>
    <w:basedOn w:val="1"/>
    <w:semiHidden/>
    <w:qFormat/>
    <w:uiPriority w:val="99"/>
    <w:pPr>
      <w:adjustRightInd w:val="0"/>
      <w:snapToGrid w:val="0"/>
      <w:spacing w:before="120" w:after="120" w:line="310" w:lineRule="atLeast"/>
      <w:jc w:val="center"/>
    </w:pPr>
    <w:rPr>
      <w:rFonts w:ascii="Arial" w:hAnsi="Arial" w:eastAsia="黑体"/>
      <w:sz w:val="21"/>
      <w:szCs w:val="20"/>
    </w:rPr>
  </w:style>
  <w:style w:type="paragraph" w:customStyle="1" w:styleId="19">
    <w:name w:val="表内容"/>
    <w:basedOn w:val="1"/>
    <w:semiHidden/>
    <w:qFormat/>
    <w:uiPriority w:val="99"/>
    <w:pPr>
      <w:adjustRightInd w:val="0"/>
      <w:snapToGrid w:val="0"/>
      <w:spacing w:line="310" w:lineRule="atLeast"/>
      <w:jc w:val="center"/>
    </w:pPr>
    <w:rPr>
      <w:rFonts w:eastAsia="宋体"/>
      <w:sz w:val="18"/>
      <w:szCs w:val="20"/>
    </w:rPr>
  </w:style>
  <w:style w:type="paragraph" w:customStyle="1" w:styleId="20">
    <w:name w:val="标题 21"/>
    <w:basedOn w:val="1"/>
    <w:qFormat/>
    <w:uiPriority w:val="1"/>
    <w:pPr>
      <w:ind w:left="820"/>
      <w:outlineLvl w:val="2"/>
    </w:pPr>
    <w:rPr>
      <w:szCs w:val="32"/>
    </w:rPr>
  </w:style>
  <w:style w:type="character" w:customStyle="1" w:styleId="21">
    <w:name w:val="font11"/>
    <w:basedOn w:val="11"/>
    <w:qFormat/>
    <w:uiPriority w:val="0"/>
    <w:rPr>
      <w:rFonts w:hint="eastAsia" w:ascii="宋体" w:hAnsi="宋体" w:eastAsia="宋体" w:cs="宋体"/>
      <w:b/>
      <w:color w:val="FF0000"/>
      <w:sz w:val="22"/>
      <w:szCs w:val="22"/>
      <w:u w:val="none"/>
    </w:rPr>
  </w:style>
  <w:style w:type="character" w:customStyle="1" w:styleId="22">
    <w:name w:val="font121"/>
    <w:basedOn w:val="11"/>
    <w:qFormat/>
    <w:uiPriority w:val="0"/>
    <w:rPr>
      <w:rFonts w:ascii="仿宋" w:hAnsi="仿宋" w:eastAsia="仿宋" w:cs="仿宋"/>
      <w:b/>
      <w:color w:val="FF0000"/>
      <w:sz w:val="22"/>
      <w:szCs w:val="22"/>
      <w:u w:val="none"/>
    </w:rPr>
  </w:style>
  <w:style w:type="character" w:customStyle="1" w:styleId="23">
    <w:name w:val="font21"/>
    <w:basedOn w:val="11"/>
    <w:qFormat/>
    <w:uiPriority w:val="0"/>
    <w:rPr>
      <w:rFonts w:hint="eastAsia" w:ascii="宋体" w:hAnsi="宋体" w:eastAsia="宋体" w:cs="宋体"/>
      <w:b/>
      <w:color w:val="FF0000"/>
      <w:sz w:val="21"/>
      <w:szCs w:val="21"/>
      <w:u w:val="none"/>
    </w:rPr>
  </w:style>
  <w:style w:type="character" w:customStyle="1" w:styleId="24">
    <w:name w:val="font91"/>
    <w:basedOn w:val="11"/>
    <w:qFormat/>
    <w:uiPriority w:val="0"/>
    <w:rPr>
      <w:rFonts w:hint="eastAsia" w:ascii="仿宋" w:hAnsi="仿宋" w:eastAsia="仿宋" w:cs="仿宋"/>
      <w:b/>
      <w:color w:val="FF0000"/>
      <w:sz w:val="21"/>
      <w:szCs w:val="21"/>
      <w:u w:val="none"/>
    </w:rPr>
  </w:style>
  <w:style w:type="paragraph" w:customStyle="1" w:styleId="25">
    <w:name w:val="标题 211"/>
    <w:basedOn w:val="1"/>
    <w:qFormat/>
    <w:uiPriority w:val="1"/>
    <w:pPr>
      <w:ind w:left="820"/>
      <w:outlineLvl w:val="2"/>
    </w:pPr>
    <w:rPr>
      <w:rFonts w:asciiTheme="minorHAnsi" w:hAnsiTheme="minorHAnsi" w:eastAsiaTheme="minorEastAsia" w:cstheme="minorBidi"/>
      <w:szCs w:val="32"/>
    </w:rPr>
  </w:style>
  <w:style w:type="table" w:customStyle="1" w:styleId="26">
    <w:name w:val="网格型1"/>
    <w:basedOn w:val="9"/>
    <w:qFormat/>
    <w:uiPriority w:val="39"/>
    <w:rPr>
      <w:rFonts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7">
    <w:name w:val="font231"/>
    <w:basedOn w:val="11"/>
    <w:qFormat/>
    <w:uiPriority w:val="0"/>
    <w:rPr>
      <w:rFonts w:hint="eastAsia" w:ascii="宋体" w:hAnsi="宋体" w:eastAsia="宋体" w:cs="宋体"/>
      <w:color w:val="FF0000"/>
      <w:sz w:val="21"/>
      <w:szCs w:val="21"/>
      <w:u w:val="none"/>
    </w:rPr>
  </w:style>
  <w:style w:type="character" w:customStyle="1" w:styleId="28">
    <w:name w:val="font161"/>
    <w:basedOn w:val="11"/>
    <w:qFormat/>
    <w:uiPriority w:val="0"/>
    <w:rPr>
      <w:rFonts w:ascii="仿宋" w:hAnsi="仿宋" w:eastAsia="仿宋" w:cs="仿宋"/>
      <w:color w:val="FF0000"/>
      <w:sz w:val="21"/>
      <w:szCs w:val="21"/>
      <w:u w:val="none"/>
    </w:rPr>
  </w:style>
  <w:style w:type="character" w:customStyle="1" w:styleId="29">
    <w:name w:val="font101"/>
    <w:basedOn w:val="11"/>
    <w:qFormat/>
    <w:uiPriority w:val="0"/>
    <w:rPr>
      <w:rFonts w:hint="eastAsia" w:ascii="宋体" w:hAnsi="宋体" w:eastAsia="宋体" w:cs="宋体"/>
      <w:color w:val="000000"/>
      <w:sz w:val="18"/>
      <w:szCs w:val="18"/>
      <w:u w:val="none"/>
    </w:rPr>
  </w:style>
  <w:style w:type="character" w:customStyle="1" w:styleId="30">
    <w:name w:val="font81"/>
    <w:basedOn w:val="11"/>
    <w:qFormat/>
    <w:uiPriority w:val="0"/>
    <w:rPr>
      <w:rFonts w:hint="eastAsia" w:ascii="宋体" w:hAnsi="宋体" w:eastAsia="宋体" w:cs="宋体"/>
      <w:color w:val="FF0000"/>
      <w:sz w:val="18"/>
      <w:szCs w:val="18"/>
      <w:u w:val="none"/>
    </w:rPr>
  </w:style>
  <w:style w:type="character" w:customStyle="1" w:styleId="31">
    <w:name w:val="font151"/>
    <w:basedOn w:val="11"/>
    <w:qFormat/>
    <w:uiPriority w:val="0"/>
    <w:rPr>
      <w:rFonts w:hint="default" w:ascii="Times New Roman" w:hAnsi="Times New Roman" w:cs="Times New Roman"/>
      <w:color w:val="FF0000"/>
      <w:sz w:val="18"/>
      <w:szCs w:val="18"/>
      <w:u w:val="none"/>
    </w:rPr>
  </w:style>
  <w:style w:type="character" w:customStyle="1" w:styleId="32">
    <w:name w:val="font71"/>
    <w:basedOn w:val="11"/>
    <w:qFormat/>
    <w:uiPriority w:val="0"/>
    <w:rPr>
      <w:rFonts w:hint="default" w:ascii="Times New Roman" w:hAnsi="Times New Roman" w:cs="Times New Roman"/>
      <w:color w:val="000000"/>
      <w:sz w:val="18"/>
      <w:szCs w:val="18"/>
      <w:u w:val="none"/>
    </w:rPr>
  </w:style>
  <w:style w:type="character" w:customStyle="1" w:styleId="33">
    <w:name w:val="font141"/>
    <w:basedOn w:val="11"/>
    <w:qFormat/>
    <w:uiPriority w:val="0"/>
    <w:rPr>
      <w:rFonts w:hint="eastAsia" w:ascii="宋体" w:hAnsi="宋体" w:eastAsia="宋体" w:cs="宋体"/>
      <w:b/>
      <w:color w:val="000000"/>
      <w:sz w:val="18"/>
      <w:szCs w:val="18"/>
      <w:u w:val="none"/>
    </w:rPr>
  </w:style>
  <w:style w:type="character" w:customStyle="1" w:styleId="34">
    <w:name w:val="font212"/>
    <w:basedOn w:val="11"/>
    <w:qFormat/>
    <w:uiPriority w:val="0"/>
    <w:rPr>
      <w:rFonts w:hint="eastAsia" w:ascii="宋体" w:hAnsi="宋体" w:eastAsia="宋体" w:cs="宋体"/>
      <w:color w:val="000000"/>
      <w:sz w:val="21"/>
      <w:szCs w:val="21"/>
      <w:u w:val="none"/>
    </w:rPr>
  </w:style>
  <w:style w:type="character" w:customStyle="1" w:styleId="35">
    <w:name w:val="font61"/>
    <w:basedOn w:val="11"/>
    <w:qFormat/>
    <w:uiPriority w:val="0"/>
    <w:rPr>
      <w:rFonts w:hint="eastAsia" w:ascii="仿宋" w:hAnsi="仿宋" w:eastAsia="仿宋" w:cs="仿宋"/>
      <w:color w:val="000000"/>
      <w:sz w:val="21"/>
      <w:szCs w:val="21"/>
      <w:u w:val="none"/>
    </w:rPr>
  </w:style>
  <w:style w:type="character" w:customStyle="1" w:styleId="36">
    <w:name w:val="font51"/>
    <w:basedOn w:val="11"/>
    <w:qFormat/>
    <w:uiPriority w:val="0"/>
    <w:rPr>
      <w:rFonts w:hint="eastAsia" w:ascii="宋体" w:hAnsi="宋体" w:eastAsia="宋体" w:cs="宋体"/>
      <w:color w:val="000000"/>
      <w:sz w:val="18"/>
      <w:szCs w:val="18"/>
      <w:u w:val="none"/>
    </w:rPr>
  </w:style>
  <w:style w:type="character" w:customStyle="1" w:styleId="37">
    <w:name w:val="font221"/>
    <w:basedOn w:val="11"/>
    <w:qFormat/>
    <w:uiPriority w:val="0"/>
    <w:rPr>
      <w:rFonts w:hint="eastAsia" w:ascii="宋体" w:hAnsi="宋体" w:eastAsia="宋体" w:cs="宋体"/>
      <w:color w:val="FF0000"/>
      <w:sz w:val="21"/>
      <w:szCs w:val="21"/>
      <w:u w:val="none"/>
    </w:rPr>
  </w:style>
  <w:style w:type="character" w:customStyle="1" w:styleId="38">
    <w:name w:val="font201"/>
    <w:basedOn w:val="11"/>
    <w:qFormat/>
    <w:uiPriority w:val="0"/>
    <w:rPr>
      <w:rFonts w:hint="eastAsia" w:ascii="宋体" w:hAnsi="宋体" w:eastAsia="宋体" w:cs="宋体"/>
      <w:color w:val="000000"/>
      <w:sz w:val="21"/>
      <w:szCs w:val="21"/>
      <w:u w:val="none"/>
    </w:rPr>
  </w:style>
  <w:style w:type="character" w:customStyle="1" w:styleId="39">
    <w:name w:val="font31"/>
    <w:basedOn w:val="11"/>
    <w:qFormat/>
    <w:uiPriority w:val="0"/>
    <w:rPr>
      <w:rFonts w:hint="eastAsia" w:ascii="宋体" w:hAnsi="宋体" w:eastAsia="宋体" w:cs="宋体"/>
      <w:color w:val="FF0000"/>
      <w:sz w:val="21"/>
      <w:szCs w:val="21"/>
      <w:u w:val="none"/>
    </w:rPr>
  </w:style>
  <w:style w:type="character" w:customStyle="1" w:styleId="40">
    <w:name w:val="font41"/>
    <w:basedOn w:val="11"/>
    <w:qFormat/>
    <w:uiPriority w:val="0"/>
    <w:rPr>
      <w:rFonts w:hint="eastAsia" w:ascii="宋体" w:hAnsi="宋体" w:eastAsia="宋体" w:cs="宋体"/>
      <w:color w:val="000000"/>
      <w:sz w:val="21"/>
      <w:szCs w:val="21"/>
      <w:u w:val="none"/>
    </w:rPr>
  </w:style>
  <w:style w:type="character" w:customStyle="1" w:styleId="41">
    <w:name w:val="font181"/>
    <w:basedOn w:val="11"/>
    <w:qFormat/>
    <w:uiPriority w:val="0"/>
    <w:rPr>
      <w:rFonts w:hint="eastAsia" w:ascii="仿宋" w:hAnsi="仿宋" w:eastAsia="仿宋" w:cs="仿宋"/>
      <w:color w:val="FF0000"/>
      <w:sz w:val="21"/>
      <w:szCs w:val="21"/>
      <w:u w:val="none"/>
    </w:rPr>
  </w:style>
  <w:style w:type="table" w:customStyle="1" w:styleId="42">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2"/>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552C90-3F88-4A00-A651-125B129A17B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19</Pages>
  <Words>12114</Words>
  <Characters>12494</Characters>
  <Lines>73</Lines>
  <Paragraphs>20</Paragraphs>
  <TotalTime>0</TotalTime>
  <ScaleCrop>false</ScaleCrop>
  <LinksUpToDate>false</LinksUpToDate>
  <CharactersWithSpaces>12684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2019-06-18T07:22:00Z</dcterms:created>
  <dc:creator>USER</dc:creator>
  <cp:lastModifiedBy>周列</cp:lastModifiedBy>
  <cp:lastPrinted>2022-06-28T03:19:00Z</cp:lastPrinted>
  <dcterms:modified xsi:type="dcterms:W3CDTF">2022-08-14T10:58:25Z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B87D723B54A64426ADDAA097F4373D68</vt:lpwstr>
  </property>
</Properties>
</file>